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DILIGENCE FRAMEWORKS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22 MCP + API connections · ~75 DATs analyzed · Diligence⁠-⁠doc review 4hr to 1hr</w:t>
        <w:br/>
        <w:t>· 8 SSRN papers · 13 federal comment letters · FSB AI consultation response</w:t>
        <w:br/>
        <w:t>· Patent⁠-⁠pending Canonical⁠-⁠State Architecture for multi⁠-⁠agent AI research (ten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20">
        <w:r>
          <w:rPr>
            <w:rStyle w:val="Hyperlink"/>
          </w:rPr>
          <w:t xml:space="preserve">FSB AI Sound Practices consultation response</w:t>
        </w:r>
      </w:hyperlink>
      <w:r>
        <w:t xml:space="preserve"> (Jul 2026), the first external deployment of the MVEP-AI / CLII-AI operator-accountability stack; </w:t>
      </w:r>
      <w:hyperlink r:id="rId21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SELECTED RESEARCH</w:t>
      </w:r>
    </w:p>
    <w:p>
      <w:pPr>
        <w:spacing w:after="28"/>
        <w:ind w:left="320" w:hanging="160"/>
      </w:pPr>
      <w:r>
        <w:t xml:space="preserve">• </w:t>
      </w:r>
      <w:r>
        <w:rPr>
          <w:b/>
        </w:rPr>
        <w:t>Canonical-State Architecture.</w:t>
      </w:r>
      <w:r>
        <w:t xml:space="preserve"> Filed ten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The applications extend the architecture to role-routed cross-session coordination, actual-touched-file collision detection, and a self-describing verification registry, plus separate applications for evidence-grounding of AI-generated assessments and cited values.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The Control Layer of Agentic Payments.</w:t>
        </w:r>
      </w:hyperlink>
      <w:r>
        <w:t xml:space="preserve"> First control-layer measurement of live agentic payments (x402): facilitator concentration above the antitrust highly-concentrated threshold on every chain measured, subsidy and proxy pipelines exposed by buyer cardinality, and a composition chain with no accountable layer; anchors the FSB AI-consultation response.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Informal AI-governance focus group at Foresight Institute Vision Weekend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</w:p>
    <w:p>
      <w:pPr>
        <w:tabs>
          <w:tab w:val="right" w:pos="10320"/>
        </w:tabs>
        <w:spacing w:after="0"/>
      </w:pPr>
      <w:r>
        <w:rPr>
          <w:b w:val="0"/>
          <w:i w:val="0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letters/fsb-ai-sound-practices/" TargetMode="External"/><Relationship Id="rId21" Type="http://schemas.openxmlformats.org/officeDocument/2006/relationships/hyperlink" Target="https://tokenization.systems/papers/routing-the-dollar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papers/agentic-payments-control-layer/" TargetMode="External"/><Relationship Id="rId25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