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9 SSRN papers · 25 federal comment letters</w:t>
        <w:br/>
        <w:t>· 42 USPTO patent applications across 32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25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xml:space="preserve">• Worked on the </w:t>
      </w:r>
      <w:r>
        <w:rPr>
          <w:b/>
        </w:rPr>
        <w:t>Cross-Chain Ecosystem Fund</w:t>
      </w:r>
      <w:r>
        <w:t>, which partnered with, invested in, and took investment from 15 of the top 25 Layer 1 chains, ecosystems that were simultaneously LPs, co-investors, and portfolio; supplied them access to teams building cross-chain composability infrastructure no single ecosystem could source alone.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4">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letters/fsb-ai-sound-practices/" TargetMode="External"/><Relationship Id="rId26" Type="http://schemas.openxmlformats.org/officeDocument/2006/relationships/hyperlink" Target="https://tokenization.systems/papers/tokenized-equity/"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