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7"/>
          <w:szCs w:val="37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7"/>
          <w:szCs w:val="17"/>
        </w:rPr>
        <w:t xml:space="preserve">Orlando, FL | Zach@Tokenization.Systems | 407-536-8625</w:t>
      </w:r>
    </w:p>
    <w:p>
      <w:pPr>
        <w:spacing w:after="55"/>
        <w:jc w:val="center"/>
      </w:pPr>
      <w:hyperlink r:id="rIdtk3pkbjp0bnea-khivcha">
        <w:r>
          <w:rPr>
            <w:rStyle w:val="Hyperlink"/>
            <w:sz w:val="17"/>
            <w:szCs w:val="17"/>
          </w:rPr>
          <w:t xml:space="preserve">Tokenization.Systems</w:t>
        </w:r>
      </w:hyperlink>
      <w:r>
        <w:rPr>
          <w:sz w:val="17"/>
          <w:szCs w:val="17"/>
        </w:rPr>
        <w:t xml:space="preserve">  |  </w:t>
      </w:r>
      <w:hyperlink r:id="rIdnnxna0daueqz2sdxissom">
        <w:r>
          <w:rPr>
            <w:rStyle w:val="Hyperlink"/>
            <w:sz w:val="17"/>
            <w:szCs w:val="17"/>
          </w:rPr>
          <w:t xml:space="preserve">LinkedIn</w:t>
        </w:r>
      </w:hyperlink>
      <w:r>
        <w:rPr>
          <w:sz w:val="17"/>
          <w:szCs w:val="17"/>
        </w:rPr>
        <w:t xml:space="preserve">  |  </w:t>
      </w:r>
      <w:hyperlink r:id="rIdrdmpe-g4zsyvawvrrkisd">
        <w:r>
          <w:rPr>
            <w:rStyle w:val="Hyperlink"/>
            <w:sz w:val="17"/>
            <w:szCs w:val="17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Digital assets since 2016 (10 years) · 74⁠-⁠vector risk taxonomy · 64 testable controls · 624⁠-⁠configuration simulation battery · Thorchain $200M insolvency modeled 13 months ahead · 9 SSRN papers · 25 federal comment letters</w:t>
        <w:br/>
        <w:t>· 42 USPTO patent applications across 32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Ten years in digital assets: independent protocol research from Jul 2016, institutional practice from Dec 2019. 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7"/>
          <w:szCs w:val="17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EXPERIENCE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 nine-paper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25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published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36 control objectives across a 624-configuration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Blockchain Research Analyst (Independent)</w:t>
      </w:r>
      <w:r>
        <w:t xml:space="preserve"> · Self-Employed</w:t>
      </w:r>
      <w:r>
        <w:tab/>
      </w:r>
      <w:r>
        <w:rPr>
          <w:i/>
        </w:rPr>
        <w:t>Jul 2016 to Present</w:t>
      </w:r>
    </w:p>
    <w:p>
      <w:pPr>
        <w:spacing w:after="36"/>
        <w:ind w:left="320" w:hanging="160"/>
      </w:pPr>
      <w:r>
        <w:t>• Independent digital-asset research since Jul 2016, three years before joining Borderless Capital: reviewed 250+ protocol whitepapers, diligenced 1,000+ project and token-offering pitches, consulted 150+ projects on protocol design and tokenomics, and invested in 50+ token offerings.</w:t>
      </w:r>
    </w:p>
    <w:p>
      <w:pPr>
        <w:spacing w:after="36"/>
        <w:ind w:left="320" w:hanging="160"/>
      </w:pPr>
      <w:r>
        <w:t>• Hands-on validation across 30+ blockchains under live conditions: liquidity, fees, settlement finality, bridging, governance execution, and custody and security trade-offs. 30+ conferences and bank summits across the U.S., Europe, Asia, and Dubai.</w:t>
      </w:r>
    </w:p>
    <w:p>
      <w:pPr>
        <w:keepNext/>
        <w:tabs>
          <w:tab w:val="right" w:pos="10320"/>
        </w:tabs>
        <w:spacing w:after="40" w:before="160"/>
      </w:pPr>
      <w:r>
        <w:rPr>
          <w:b/>
        </w:rPr>
        <w:t>Analyst Intern</w:t>
      </w:r>
      <w:r>
        <w:t xml:space="preserve"> · Greenway Solutions (fraud-control consulting; client: USAA)</w:t>
      </w:r>
      <w:r>
        <w:tab/>
      </w:r>
      <w:r>
        <w:rPr>
          <w:i/>
        </w:rPr>
        <w:t>May to Sep 2016</w:t>
      </w:r>
    </w:p>
    <w:p>
      <w:pPr>
        <w:spacing w:after="36"/>
        <w:ind w:left="320" w:hanging="160"/>
      </w:pPr>
      <w:r>
        <w:t>• Benchmarked fraud controls and the security-versus-friction tradeoff across online, mobile, and call-center channels at nine leading U.S. banks: authentication and password-reset controls, account-opening data requirements, and funds-availability and clearing timing; built the scoring framework and delivered the executive summary.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36 control objectives) mapped to a 624-configuration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1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Published at Frontiers in Blockchain (2026).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Trino, BigQuery), JavaScript / TypeScript; 22 MCP and API connections wrapping the data sources above plus GitHub; Claude.ai + Claude Code + OpenAI Codex + Cursor with 78-skill library and 33-file canonical-state architecture; Jev (TypeSafe) typed-judgment offload; local models via Ollama (IBM Granite, Qwen);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7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2"/>
      <w:szCs w:val="52"/>
    </w:rPr>
  </w:style>
  <w:style w:type="paragraph" w:styleId="Heading1">
    <w:name w:val="Heading 1"/>
    <w:basedOn w:val="Normal"/>
    <w:next w:val="Normal"/>
    <w:qFormat/>
    <w:rPr>
      <w:color w:val="2E74B5"/>
      <w:sz w:val="29"/>
      <w:szCs w:val="29"/>
    </w:rPr>
  </w:style>
  <w:style w:type="paragraph" w:styleId="Heading2">
    <w:name w:val="Heading 2"/>
    <w:basedOn w:val="Normal"/>
    <w:next w:val="Normal"/>
    <w:qFormat/>
    <w:rPr>
      <w:color w:val="2E74B5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www.frontiersin.org/journals/blockchain/articles/10.3389/fbloc.2026.1853465/full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tokenization.systems/papers/agentic-payments-control-layer/" TargetMode="External"/><Relationship Id="rId22" Type="http://schemas.openxmlformats.org/officeDocument/2006/relationships/hyperlink" Target="https://tokenization.systems/letters/fsb-ai-sound-practices/" TargetMode="External"/><Relationship Id="rId23" Type="http://schemas.openxmlformats.org/officeDocument/2006/relationships/hyperlink" Target="https://tokenization.systems/papers/three-strategies/" TargetMode="External"/><Relationship Id="rId24" Type="http://schemas.openxmlformats.org/officeDocument/2006/relationships/hyperlink" Target="https://tokenization.systems/papers/seven-dollars/" TargetMode="External"/><Relationship Id="rId25" Type="http://schemas.openxmlformats.org/officeDocument/2006/relationships/hyperlink" Target="https://tokenization.systems/papers/dollar-v3/" TargetMode="External"/><Relationship Id="rId26" Type="http://schemas.openxmlformats.org/officeDocument/2006/relationships/hyperlink" Target="https://tokenization.systems/papers/who-burns-the-tokens/" TargetMode="External"/><Relationship Id="rId27" Type="http://schemas.openxmlformats.org/officeDocument/2006/relationships/hyperlink" Target="https://medium.com/borderless-capital/introduction-to-tokenomics-c7af75c09bfe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