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AI GOVERNANCE · CONTROL-LAYER ACCOUNTABILITY · DILIGENCE FRAMEWORKS</w:t>
      </w:r>
    </w:p>
    <w:p>
      <w:pPr>
        <w:spacing w:after="10"/>
        <w:jc w:val="center"/>
      </w:pPr>
      <w:r>
        <w:rPr>
          <w:b w:val="0"/>
          <w:i w:val="0"/>
          <w:sz w:val="18"/>
        </w:rPr>
        <w:t>· 22 MCP + API connections · ~75 DATs analyzed · Diligence⁠-⁠doc review 4hr to 1hr</w:t>
        <w:br/>
        <w:t>· 8 SSRN papers · 13 federal comment letters · FSB AI consultation response</w:t>
        <w:br/>
        <w:t>· Patent⁠-⁠pending Canonical⁠-⁠State Architecture for multi⁠-⁠agent AI research (twelve USPTO provisional applications, 2026)</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40" w:before="160"/>
      </w:pPr>
      <w:r>
        <w:rPr>
          <w:rFonts w:ascii="Arial" w:cs="Arial" w:eastAsia="Arial" w:hAnsi="Arial"/>
          <w:color w:val="1A1A1A"/>
          <w:sz w:val="19"/>
          <w:szCs w:val="19"/>
        </w:rPr>
        <w:t>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9"/>
          <w:szCs w:val="19"/>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thirteen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spacing w:after="36"/>
        <w:ind w:left="320" w:hanging="160"/>
      </w:pPr>
      <w:r>
        <w:t>• Shipped 250 portfolio investments (~25% deployment rate) across ~10 institutional funds (~$500M AUM) from a 1,000+ deal pre-seed-to-Series-C funnel, with build/partner/hold recommendations to committee.</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r>
        <w:rPr>
          <w:b/>
        </w:rPr>
        <w:t>Canonical-State Architecture.</w:t>
      </w:r>
      <w:r>
        <w:t xml:space="preserve"> Filed twelve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240-scenario Monte Carlo simulation; cuts worst-case supply volatility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