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7"/>
            <w:szCs w:val="17"/>
          </w:rPr>
          <w:t xml:space="preserve">Tokenization.Systems</w:t>
        </w:r>
      </w:hyperlink>
      <w:r>
        <w:rPr>
          <w:sz w:val="17"/>
          <w:szCs w:val="17"/>
        </w:rPr>
        <w:t xml:space="preserve">  |  </w:t>
      </w:r>
      <w:hyperlink r:id="rIdnnxna0daueqz2sdxissom">
        <w:r>
          <w:rPr>
            <w:rStyle w:val="Hyperlink"/>
            <w:sz w:val="17"/>
            <w:szCs w:val="17"/>
          </w:rPr>
          <w:t xml:space="preserve">LinkedIn</w:t>
        </w:r>
      </w:hyperlink>
      <w:r>
        <w:rPr>
          <w:sz w:val="17"/>
          <w:szCs w:val="17"/>
        </w:rPr>
        <w:t xml:space="preserve">  |  </w:t>
      </w:r>
      <w:hyperlink r:id="rIdrdmpe-g4zsyvawvrrkisd">
        <w:r>
          <w:rPr>
            <w:rStyle w:val="Hyperlink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Digital assets since 2016 (10 years) · Sourced LayerZero seed (~80x) · CLII across 19 stablecoin gateways · 100 portfolio companies advised 1⁠-⁠on⁠-⁠1 (50+ multi⁠-⁠session) · 8 SSRN papers · 16 federal comment letters</w:t>
        <w:br/>
        <w:t>· 30 USPTO patent applications across 20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sixteen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73-skill library and 33-file canonical-state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