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4"/>
          <w:szCs w:val="34"/>
        </w:rPr>
        <w:t xml:space="preserve">Zach Zukowski</w:t>
      </w:r>
    </w:p>
    <w:p>
      <w:pPr>
        <w:spacing w:after="10"/>
        <w:jc w:val="center"/>
      </w:pPr>
      <w:r>
        <w:rPr>
          <w:rFonts w:ascii="Arial" w:cs="Arial" w:eastAsia="Arial" w:hAnsi="Arial"/>
          <w:color w:val="444444"/>
          <w:sz w:val="16"/>
          <w:szCs w:val="16"/>
        </w:rPr>
        <w:t xml:space="preserve">Orlando, FL | Zach@Tokenization.Systems | 407-536-8625</w:t>
      </w:r>
    </w:p>
    <w:p>
      <w:pPr>
        <w:spacing w:after="55"/>
        <w:jc w:val="center"/>
      </w:pPr>
      <w:hyperlink r:id="rIdtk3pkbjp0bnea-khivcha">
        <w:r>
          <w:rPr>
            <w:rStyle w:val="Hyperlink"/>
            <w:sz w:val="16"/>
            <w:szCs w:val="16"/>
          </w:rPr>
          <w:t xml:space="preserve">Tokenization.Systems</w:t>
        </w:r>
      </w:hyperlink>
      <w:r>
        <w:rPr>
          <w:sz w:val="16"/>
          <w:szCs w:val="16"/>
        </w:rPr>
        <w:t xml:space="preserve">  |  </w:t>
      </w:r>
      <w:hyperlink r:id="rIdnnxna0daueqz2sdxissom">
        <w:r>
          <w:rPr>
            <w:rStyle w:val="Hyperlink"/>
            <w:sz w:val="16"/>
            <w:szCs w:val="16"/>
          </w:rPr>
          <w:t xml:space="preserve">LinkedIn</w:t>
        </w:r>
      </w:hyperlink>
      <w:r>
        <w:rPr>
          <w:sz w:val="16"/>
          <w:szCs w:val="16"/>
        </w:rPr>
        <w:t xml:space="preserve">  |  </w:t>
      </w:r>
      <w:hyperlink r:id="rIdrdmpe-g4zsyvawvrrkisd">
        <w:r>
          <w:rPr>
            <w:rStyle w:val="Hyperlink"/>
            <w:sz w:val="16"/>
            <w:szCs w:val="16"/>
          </w:rPr>
          <w:t xml:space="preserve">SSRN</w:t>
        </w:r>
      </w:hyperlink>
    </w:p>
    <w:p>
      <w:pPr>
        <w:spacing w:after="15"/>
        <w:jc w:val="center"/>
      </w:pPr>
      <w:r>
        <w:rPr>
          <w:rFonts w:ascii="Arial" w:cs="Arial" w:eastAsia="Arial" w:hAnsi="Arial"/>
          <w:b/>
          <w:bCs/>
          <w:color w:val="1A1A1A"/>
          <w:sz w:val="20"/>
          <w:szCs w:val="20"/>
        </w:rPr>
        <w:t>STABLECOIN POLICY · REGULATORY TRANSLATION · FEDERAL COMMENT LETTERS</w:t>
      </w:r>
    </w:p>
    <w:p>
      <w:pPr>
        <w:spacing w:after="10"/>
        <w:jc w:val="center"/>
      </w:pPr>
      <w:r>
        <w:rPr>
          <w:b w:val="0"/>
          <w:i w:val="0"/>
          <w:sz w:val="15"/>
        </w:rPr>
        <w:t>· Digital assets since 2016 (10 years) · 16 federal comment letters · FSB AI consultation response · 8 SSRN papers · Dialogues across national security think tanks, securities exchanges, Central Securities Depositories, payments messaging, tier⁠-⁠1 banks, SEC⁠-⁠registered transfer agents</w:t>
        <w:br/>
        <w:t>· 30 USPTO patent applications across 20 families (Canonical⁠-⁠State Architecture for multi⁠-⁠agent AI research)</w:t>
      </w:r>
    </w:p>
    <w:p>
      <w:pPr>
        <w:pBdr>
          <w:bottom w:val="single" w:color="AAAAAA" w:sz="3" w:space="1"/>
        </w:pBdr>
        <w:spacing w:before="280" w:after="120"/>
      </w:pPr>
      <w:r>
        <w:rPr>
          <w:rFonts w:ascii="Arial" w:cs="Arial" w:eastAsia="Arial" w:hAnsi="Arial"/>
          <w:b/>
          <w:bCs/>
          <w:color w:val="1A1A1A"/>
          <w:sz w:val="17"/>
          <w:szCs w:val="17"/>
        </w:rPr>
        <w:t xml:space="preserve">SUMMARY</w:t>
      </w:r>
    </w:p>
    <w:p>
      <w:pPr>
        <w:spacing w:after="38"/>
      </w:pPr>
      <w:r>
        <w:rPr>
          <w:rFonts w:ascii="Arial" w:cs="Arial" w:eastAsia="Arial" w:hAnsi="Arial"/>
          <w:color w:val="1A1A1A"/>
          <w:sz w:val="16"/>
          <w:szCs w:val="16"/>
        </w:rPr>
        <w:t>Ten years in digital assets: independent protocol research from Jul 2016, institutional practice from Dec 2019. Stablecoin policy and regulatory-strategy lead who translates banking and payments rulemaking into reserve, routing, and compliance positions, from federal dockets to capital-markets infrastructure. Founder of Tokenization Systems; first hire at Borderless Capital, an RIA.</w:t>
      </w:r>
    </w:p>
    <w:p>
      <w:pPr>
        <w:spacing w:after="38"/>
      </w:pPr>
      <w:r>
        <w:rPr>
          <w:rFonts w:ascii="Arial" w:cs="Arial" w:eastAsia="Arial" w:hAnsi="Arial"/>
          <w:color w:val="1A1A1A"/>
          <w:sz w:val="16"/>
          <w:szCs w:val="16"/>
        </w:rPr>
        <w:t>Focus: stablecoin and payments policy, bank versus money-transmitter charter equivalence, reserve and AML/CFT standards, regulatory translation · OCC, FDIC, FinCEN, OFAC, Treasury GENIUS, CLARITY, MiCA, Singapore MAS.</w:t>
      </w:r>
    </w:p>
    <w:p>
      <w:pPr>
        <w:pBdr>
          <w:bottom w:val="single" w:color="AAAAAA" w:sz="3" w:space="1"/>
        </w:pBdr>
        <w:spacing w:before="280" w:after="120"/>
      </w:pPr>
      <w:r>
        <w:rPr>
          <w:rFonts w:ascii="Arial" w:cs="Arial" w:eastAsia="Arial" w:hAnsi="Arial"/>
          <w:b/>
          <w:bCs/>
          <w:color w:val="1A1A1A"/>
          <w:sz w:val="17"/>
          <w:szCs w:val="17"/>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Contributed sixteen comment letters across a federal regulatory program (OCC bank stablecoin engagement </w:t>
      </w:r>
      <w:hyperlink r:id="rId6">
        <w:r>
          <w:rPr>
            <w:rStyle w:val="Hyperlink"/>
          </w:rPr>
          <w:t xml:space="preserve">RIN 1557-AF41</w:t>
        </w:r>
      </w:hyperlink>
      <w:r>
        <w:t xml:space="preserve"> plus </w:t>
      </w:r>
      <w:hyperlink r:id="rId7">
        <w:r>
          <w:rPr>
            <w:rStyle w:val="Hyperlink"/>
          </w:rPr>
          <w:t xml:space="preserve">supplemental control-layer extension</w:t>
        </w:r>
      </w:hyperlink>
      <w:r>
        <w:t xml:space="preserve">; </w:t>
      </w:r>
      <w:hyperlink r:id="rId8">
        <w:r>
          <w:rPr>
            <w:rStyle w:val="Hyperlink"/>
          </w:rPr>
          <w:t xml:space="preserve">Treasury GENIUS Act state similarity</w:t>
        </w:r>
      </w:hyperlink>
      <w:r>
        <w:t xml:space="preserve">; FDIC payment-stablecoin reserve standards </w:t>
      </w:r>
      <w:hyperlink r:id="rId10">
        <w:r>
          <w:rPr>
            <w:rStyle w:val="Hyperlink"/>
          </w:rPr>
          <w:t xml:space="preserve">RIN 3064-AG19</w:t>
        </w:r>
      </w:hyperlink>
      <w:r>
        <w:t xml:space="preserve"> and stablecoin-subsidiary issuance approvals </w:t>
      </w:r>
      <w:hyperlink r:id="rId11">
        <w:r>
          <w:rPr>
            <w:rStyle w:val="Hyperlink"/>
          </w:rPr>
          <w:t xml:space="preserve">RIN 3064-AG20</w:t>
        </w:r>
      </w:hyperlink>
      <w:r>
        <w:t xml:space="preserve">; FinCEN AML/CFT </w:t>
      </w:r>
      <w:hyperlink r:id="rId12">
        <w:r>
          <w:rPr>
            <w:rStyle w:val="Hyperlink"/>
          </w:rPr>
          <w:t xml:space="preserve">FINCEN-2026-0034</w:t>
        </w:r>
      </w:hyperlink>
      <w:r>
        <w:t xml:space="preserve">; FinCEN-OFAC PPSI sanctions </w:t>
      </w:r>
      <w:hyperlink r:id="rId13">
        <w:r>
          <w:rPr>
            <w:rStyle w:val="Hyperlink"/>
          </w:rPr>
          <w:t xml:space="preserve">FINCEN-2026-0100</w:t>
        </w:r>
      </w:hyperlink>
      <w:r>
        <w:t xml:space="preserve">; joint banking AML/CFT </w:t>
      </w:r>
      <w:hyperlink r:id="rId14">
        <w:r>
          <w:rPr>
            <w:rStyle w:val="Hyperlink"/>
          </w:rPr>
          <w:t xml:space="preserve">91 FR 18304</w:t>
        </w:r>
      </w:hyperlink>
      <w:r>
        <w:t xml:space="preserve">); first international standard-setter filing: </w:t>
      </w:r>
      <w:hyperlink r:id="rId15">
        <w:r>
          <w:rPr>
            <w:rStyle w:val="Hyperlink"/>
          </w:rPr>
          <w:t xml:space="preserve">FSB AI Sound Practices consultation response</w:t>
        </w:r>
      </w:hyperlink>
      <w:r>
        <w:t xml:space="preserve"> (Jul 2026), applying the MVEP-AI / CLII-AI operator-accountability extensions.</w:t>
      </w:r>
    </w:p>
    <w:p>
      <w:pPr>
        <w:spacing w:after="36"/>
        <w:ind w:left="320" w:hanging="160"/>
      </w:pPr>
      <w:r>
        <w:t xml:space="preserve">• </w:t>
      </w:r>
      <w:hyperlink r:id="rId16">
        <w:r>
          <w:rPr>
            <w:rStyle w:val="Hyperlink"/>
          </w:rPr>
          <w:t xml:space="preserve">Routing the Dollar</w:t>
        </w:r>
      </w:hyperlink>
      <w:r>
        <w:t xml:space="preserve"> prepared for the Federal Reserve Fifth Conference on the Dollar's International Roles (Jun 2026); </w:t>
      </w:r>
      <w:hyperlink r:id="rId17">
        <w:r>
          <w:rPr>
            <w:rStyle w:val="Hyperlink"/>
          </w:rPr>
          <w:t xml:space="preserve">Governance Concentration</w:t>
        </w:r>
      </w:hyperlink>
      <w:r>
        <w:t xml:space="preserve"> published at Frontiers in Blockchain.</w:t>
      </w:r>
    </w:p>
    <w:p>
      <w:pPr>
        <w:spacing w:after="36"/>
        <w:ind w:left="320" w:hanging="160"/>
      </w:pPr>
      <w:r>
        <w:t xml:space="preserve">• Authored an eight-paper SSRN-live research program covering the </w:t>
      </w:r>
      <w:hyperlink r:id="rId18">
        <w:r>
          <w:rPr>
            <w:rStyle w:val="Hyperlink"/>
          </w:rPr>
          <w:t xml:space="preserve">Control Layer Intensity Index</w:t>
        </w:r>
      </w:hyperlink>
      <w:r>
        <w:t xml:space="preserve"> (CLII) for gateway concentration, the </w:t>
      </w:r>
      <w:hyperlink r:id="rId19">
        <w:r>
          <w:rPr>
            <w:rStyle w:val="Hyperlink"/>
          </w:rPr>
          <w:t xml:space="preserve">Minimum Viable Equivalence Pack</w:t>
        </w:r>
      </w:hyperlink>
      <w:r>
        <w:t xml:space="preserve"> (MVEP) for institutional tokenization diligence, programmable monetary-policy design (</w:t>
      </w:r>
      <w:hyperlink r:id="rId20">
        <w:r>
          <w:rPr>
            <w:rStyle w:val="Hyperlink"/>
          </w:rPr>
          <w:t xml:space="preserve">Adaptive Tokenomics</w:t>
        </w:r>
      </w:hyperlink>
      <w:r>
        <w:t xml:space="preserve">), </w:t>
      </w:r>
      <w:hyperlink r:id="rId17">
        <w:r>
          <w:rPr>
            <w:rStyle w:val="Hyperlink"/>
          </w:rPr>
          <w:t xml:space="preserve">governance concentration</w:t>
        </w:r>
      </w:hyperlink>
      <w:r>
        <w:t xml:space="preserve">, and </w:t>
      </w:r>
      <w:hyperlink r:id="rId21">
        <w:r>
          <w:rPr>
            <w:rStyle w:val="Hyperlink"/>
          </w:rPr>
          <w:t xml:space="preserve">operational risk in token economies</w:t>
        </w:r>
      </w:hyperlink>
      <w:r>
        <w:t>. Three additional papers in development (B5 Bankruptcy-Priority Misaligned Incentives, A7 Control Layer Theory, SVB Reserve Concentration); methodology paper in preparation.</w:t>
      </w:r>
    </w:p>
    <w:p>
      <w:pPr>
        <w:spacing w:after="36"/>
        <w:ind w:left="320" w:hanging="160"/>
      </w:pPr>
      <w:r>
        <w:t>• Working dialogue with capital-markets infrastructure operators on stablecoin, deposit-token, tokenized-deposit,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Regulatory Engagement</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spacing w:after="36"/>
        <w:ind w:left="320" w:hanging="160"/>
      </w:pPr>
      <w:r>
        <w:t>• Engaged in working-level dialogues on stablecoin and tokenization deployment across U.S. national-security research, major securities exchanges, central securities depositories, global payments messaging infrastructure, tier-1 bank tokenization platforms, and SEC-registered transfer agents.</w:t>
      </w:r>
    </w:p>
    <w:p>
      <w:pPr>
        <w:spacing w:after="36"/>
        <w:ind w:left="320" w:hanging="160"/>
      </w:pPr>
      <w:r>
        <w:t>• Mapped jurisdictional tax / regulatory advantages of DAT structures over direct crypto holding: Japan's Metaplanet DAT cuts crypto capital-gains tax from up to 55% to 20% (equity rate, further reducible via Japan's IRA structure); Hong Kong's Southbound Connect could give mainland Chinese capital regulated access to crypto banned domestically.</w:t>
      </w:r>
    </w:p>
    <w:p>
      <w:pPr>
        <w:tabs>
          <w:tab w:val="right" w:pos="10320"/>
        </w:tabs>
        <w:spacing w:after="20" w:before="80"/>
        <w:ind w:left="0" w:firstLine="0"/>
      </w:pPr>
      <w:r>
        <w:rPr>
          <w:b/>
          <w:i/>
        </w:rPr>
        <w:t>Market-Structure Diligence</w:t>
      </w:r>
    </w:p>
    <w:p>
      <w:pPr>
        <w:spacing w:after="36"/>
        <w:ind w:left="320" w:hanging="160"/>
      </w:pPr>
      <w:r>
        <w:t>• Identified ~15% misreporting of circulating supply in a top-25 Layer 1 protocol by independently modeling its tokenomics (emission schedule, vesting, burn dynamics); the discrepancy had propagated to CoinMarketCap and CoinGecko, and was corrected after partnering with the protocol's foundation engineers.</w:t>
      </w:r>
    </w:p>
    <w:p>
      <w:pPr>
        <w:spacing w:after="36"/>
        <w:ind w:left="320" w:hanging="160"/>
      </w:pPr>
      <w:r>
        <w:t>• Prevented hostile governance capture on a top-25 blockchain via voting-path simulation under coalition-attack scenarios; surfaced the vulnerability and mitigation route before exploitation.</w:t>
      </w:r>
    </w:p>
    <w:p>
      <w:pPr>
        <w:spacing w:after="36"/>
        <w:ind w:left="320" w:hanging="160"/>
      </w:pPr>
      <w:r>
        <w:t xml:space="preserve">• Predicted Thorchain's </w:t>
      </w:r>
      <w:r>
        <w:rPr>
          <w:b/>
        </w:rPr>
        <w:t>$200M insolvency 13 months in advance</w:t>
      </w:r>
      <w:r>
        <w:t>, leading to a no-exposure posture before the predicted failure mode materialized.</w:t>
      </w:r>
    </w:p>
    <w:p>
      <w:pPr>
        <w:spacing w:after="36"/>
        <w:ind w:left="320" w:hanging="160"/>
      </w:pPr>
      <w:r>
        <w:t>• Built quantitative token-economic models forecasting emissions, fee capture, subsidy-to-revenue trajectories, and governance concentration under wide scenario ranges; supply-equilibrium and slashing dynamics supporting Layer 1 mechanism-design advisory.</w:t>
      </w:r>
    </w:p>
    <w:p>
      <w:pPr>
        <w:tabs>
          <w:tab w:val="right" w:pos="10320"/>
        </w:tabs>
        <w:spacing w:after="20" w:before="80"/>
        <w:ind w:left="0" w:firstLine="0"/>
      </w:pPr>
      <w:r>
        <w:rPr>
          <w:b/>
          <w:i/>
        </w:rPr>
        <w:t>Capital Deployment</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built AI tool that cut subscription review from 4hr to 1hr per deal.</w:t>
      </w:r>
    </w:p>
    <w:p>
      <w:pPr>
        <w:tabs>
          <w:tab w:val="right" w:pos="10320"/>
        </w:tabs>
        <w:spacing w:after="20" w:before="80"/>
        <w:ind w:left="0" w:firstLine="0"/>
      </w:pPr>
      <w:r>
        <w:rPr>
          <w:b/>
          <w:i/>
        </w:rPr>
        <w:t>Advisory &amp; Education</w:t>
      </w:r>
    </w:p>
    <w:p>
      <w:pPr>
        <w:spacing w:after="36"/>
        <w:ind w:left="320" w:hanging="160"/>
      </w:pPr>
      <w:r>
        <w:t>• Built the firm's research function from scratch; led a four-analyst team and personally produced ~25 of its ~125 long-form publications annually; taught 100 teams across nine accelerator programs (2021 to 2025).</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7"/>
          <w:szCs w:val="17"/>
        </w:rPr>
        <w:t xml:space="preserve">SELECTED RESEARCH</w:t>
      </w:r>
    </w:p>
    <w:p>
      <w:pPr>
        <w:spacing w:after="28"/>
        <w:ind w:left="320" w:hanging="160"/>
      </w:pPr>
      <w:r>
        <w:t xml:space="preserve">• </w:t>
      </w:r>
      <w:hyperlink r:id="rId19">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16">
        <w:r>
          <w:rPr>
            <w:rStyle w:val="Hyperlink"/>
            <w:b/>
          </w:rPr>
          <w:t xml:space="preserve">Routing the Dollar.</w:t>
        </w:r>
      </w:hyperlink>
      <w:r>
        <w:t xml:space="preserve"> Prepared for Federal Reserve / FRBNY Fifth Conference on the Dollar's International Roles (Jun 2026). Gateway concentration; CLII across 19 gateways with Tier 1 a 56% / 44% Coinbase-Circle duopoly; on Ethereum, transfer volume doubled while unique counterparties fell 25% and cross-gateway connections dropped from 5.8% to 2.6%.</w:t>
      </w:r>
    </w:p>
    <w:p>
      <w:pPr>
        <w:spacing w:after="28"/>
        <w:ind w:left="320" w:hanging="160"/>
      </w:pPr>
      <w:r>
        <w:t xml:space="preserve">• </w:t>
      </w:r>
      <w:hyperlink r:id="rId22">
        <w:r>
          <w:rPr>
            <w:rStyle w:val="Hyperlink"/>
            <w:b/>
          </w:rPr>
          <w:t xml:space="preserve">Who Controls Agentic Payments?</w:t>
        </w:r>
      </w:hyperlink>
      <w:r>
        <w:t xml:space="preserve"> First control-layer measurement of agentic payments (x402). May 2026 facilitator concentration: Base HHI 6,009 by count and 4,040 by dollar volume; Solana 4,203 and 4,915, all above the 2,500 highly-concentrated threshold at under 14 months of market age.</w:t>
      </w:r>
    </w:p>
    <w:p>
      <w:pPr>
        <w:spacing w:after="28"/>
        <w:ind w:left="320" w:hanging="160"/>
      </w:pPr>
      <w:r>
        <w:t xml:space="preserve">• </w:t>
      </w:r>
      <w:hyperlink r:id="rId15">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3">
        <w:r>
          <w:rPr>
            <w:rStyle w:val="Hyperlink"/>
            <w:b/>
          </w:rPr>
          <w:t xml:space="preserve">Seven Dollars.</w:t>
        </w:r>
      </w:hyperlink>
      <w:r>
        <w:t xml:space="preserve"> Cross-product framework for major dollar-denominated digital products and how dollars move across them; CLII / MVEP decoupling; stress propagation through dependency chains (SVB, Circle pool, Paxos).</w:t>
      </w:r>
    </w:p>
    <w:p>
      <w:pPr>
        <w:spacing w:after="28"/>
        <w:ind w:left="320" w:hanging="160"/>
      </w:pPr>
      <w:r>
        <w:t xml:space="preserve">• </w:t>
      </w:r>
      <w:hyperlink r:id="rId24">
        <w:r>
          <w:rPr>
            <w:rStyle w:val="Hyperlink"/>
            <w:b/>
          </w:rPr>
          <w:t xml:space="preserve">Dollar v3.</w:t>
        </w:r>
      </w:hyperlink>
      <w:r>
        <w:t xml:space="preserve"> Four digital-dollar objects (payment stablecoins, tokenized deposits, deposit tokens, yield wrappers); typology for inheritance of control environments, backstop expectations, and failure modes; load-bearing for institutional scoping of product shape and counterparty topology.</w:t>
      </w:r>
    </w:p>
    <w:p>
      <w:pPr>
        <w:spacing w:after="28"/>
        <w:ind w:left="320" w:hanging="160"/>
      </w:pPr>
      <w:r>
        <w:t xml:space="preserve">• </w:t>
      </w:r>
      <w:hyperlink r:id="rId25">
        <w:r>
          <w:rPr>
            <w:rStyle w:val="Hyperlink"/>
            <w:b/>
          </w:rPr>
          <w:t xml:space="preserve">Three Tokenization Strategies.</w:t>
        </w:r>
      </w:hyperlink>
      <w:r>
        <w:t xml:space="preserve"> Each of three strategies satisfies different MVEP categories with measurably different strength (Regulated Collateral Circuit, Multi-Issuer Yield Stack, Tokenized Equity Rails); Securitize as cross-strategy concentration risk.</w:t>
      </w:r>
    </w:p>
    <w:p>
      <w:pPr>
        <w:spacing w:after="28"/>
        <w:ind w:left="320" w:hanging="160"/>
      </w:pPr>
      <w:r>
        <w:t xml:space="preserve">• </w:t>
      </w:r>
      <w:hyperlink r:id="rId21">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w:t>
      </w:r>
    </w:p>
    <w:p>
      <w:pPr>
        <w:spacing w:after="28"/>
        <w:ind w:left="320" w:hanging="160"/>
      </w:pPr>
      <w:r>
        <w:t xml:space="preserve">• </w:t>
      </w:r>
      <w:hyperlink r:id="rId20">
        <w:r>
          <w:rPr>
            <w:rStyle w:val="Hyperlink"/>
            <w:b/>
          </w:rPr>
          <w:t xml:space="preserve">Adaptive Tokenomics.</w:t>
        </w:r>
      </w:hyperlink>
      <w:r>
        <w:t xml:space="preserve"> Industrial control engineering (PID controller) applied to token-supply emission as programmable monetary-policy mechanism; 806-run agent-based simulation battery; PID emission control cuts worst-case node-count variance from CV 0.544 (static emission) to 0.087 (PID), functioning as downside insurance under competitor-shock attack.</w:t>
      </w:r>
    </w:p>
    <w:p>
      <w:pPr>
        <w:spacing w:after="28"/>
        <w:ind w:left="320" w:hanging="160"/>
      </w:pPr>
      <w:r>
        <w:t xml:space="preserve">• </w:t>
      </w:r>
      <w:hyperlink r:id="rId17">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26">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pBdr>
          <w:bottom w:val="single" w:color="AAAAAA" w:sz="3" w:space="1"/>
        </w:pBdr>
        <w:spacing w:before="280" w:after="120"/>
      </w:pPr>
      <w:r>
        <w:rPr>
          <w:rFonts w:ascii="Arial" w:cs="Arial" w:eastAsia="Arial" w:hAnsi="Arial"/>
          <w:b/>
          <w:bCs/>
          <w:color w:val="1A1A1A"/>
          <w:sz w:val="17"/>
          <w:szCs w:val="17"/>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73-skill library and 33-file canonical-state architecture; n8n, Apify, Git / GitHub</w:t>
      </w:r>
    </w:p>
    <w:p>
      <w:pPr>
        <w:pBdr>
          <w:bottom w:val="single" w:color="AAAAAA" w:sz="3" w:space="1"/>
        </w:pBdr>
        <w:spacing w:before="280" w:after="120"/>
      </w:pPr>
      <w:r>
        <w:rPr>
          <w:rFonts w:ascii="Arial" w:cs="Arial" w:eastAsia="Arial" w:hAnsi="Arial"/>
          <w:b/>
          <w:bCs/>
          <w:color w:val="1A1A1A"/>
          <w:sz w:val="17"/>
          <w:szCs w:val="17"/>
        </w:rPr>
        <w:t>RECOGNITION</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7">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7"/>
          <w:szCs w:val="17"/>
        </w:rPr>
        <w:t>FRAMEWORKS AUTHORED</w:t>
      </w:r>
    </w:p>
    <w:p>
      <w:pPr>
        <w:spacing w:after="36"/>
        <w:ind w:left="320" w:hanging="160"/>
      </w:pPr>
      <w:r>
        <w:t>• Control Layer Intensity Index (</w:t>
      </w:r>
      <w:hyperlink r:id="rId28">
        <w:r>
          <w:rPr>
            <w:rStyle w:val="Hyperlink"/>
          </w:rPr>
          <w:t xml:space="preserve">CLII</w:t>
        </w:r>
      </w:hyperlink>
      <w:r>
        <w:t>), Minimum Viable Equivalence Pack (</w:t>
      </w:r>
      <w:hyperlink r:id="rId29">
        <w:r>
          <w:rPr>
            <w:rStyle w:val="Hyperlink"/>
          </w:rPr>
          <w:t xml:space="preserve">MVEP</w:t>
        </w:r>
      </w:hyperlink>
      <w:r>
        <w:t>), MVEP-gated Conditional Pass-Through (</w:t>
      </w:r>
      <w:hyperlink r:id="rId30">
        <w:r>
          <w:rPr>
            <w:rStyle w:val="Hyperlink"/>
          </w:rPr>
          <w:t xml:space="preserve">MGCPT</w:t>
        </w:r>
      </w:hyperlink>
      <w:r>
        <w:t xml:space="preserve">; </w:t>
      </w:r>
      <w:hyperlink r:id="rId10">
        <w:r>
          <w:rPr>
            <w:rStyle w:val="Hyperlink"/>
          </w:rPr>
          <w:t xml:space="preserve">AG19 Rec 7</w:t>
        </w:r>
      </w:hyperlink>
      <w:r>
        <w:t>), Three-Category Reserve Disclosure (</w:t>
      </w:r>
      <w:hyperlink r:id="rId31">
        <w:r>
          <w:rPr>
            <w:rStyle w:val="Hyperlink"/>
          </w:rPr>
          <w:t xml:space="preserve">3CRD</w:t>
        </w:r>
      </w:hyperlink>
      <w:r>
        <w:t>).</w:t>
      </w:r>
    </w:p>
    <w:p>
      <w:pPr>
        <w:pBdr>
          <w:bottom w:val="single" w:color="AAAAAA" w:sz="3" w:space="1"/>
        </w:pBdr>
        <w:spacing w:before="280" w:after="120"/>
      </w:pPr>
      <w:r>
        <w:rPr>
          <w:rFonts w:ascii="Arial" w:cs="Arial" w:eastAsia="Arial" w:hAnsi="Arial"/>
          <w:b/>
          <w:bCs/>
          <w:color w:val="1A1A1A"/>
          <w:sz w:val="17"/>
          <w:szCs w:val="17"/>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r>
        <w:rPr>
          <w:b w:val="0"/>
          <w:i w:val="0"/>
        </w:rPr>
        <w:br/>
        <w:t>· 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6"/>
        <w:szCs w:val="16"/>
      </w:rPr>
    </w:rPrDefault>
    <w:pPrDefault/>
  </w:docDefaults>
  <w:style w:type="paragraph" w:styleId="Title">
    <w:name w:val="Title"/>
    <w:basedOn w:val="Normal"/>
    <w:next w:val="Normal"/>
    <w:qFormat/>
    <w:rPr>
      <w:sz w:val="48"/>
      <w:szCs w:val="48"/>
    </w:rPr>
  </w:style>
  <w:style w:type="paragraph" w:styleId="Heading1">
    <w:name w:val="Heading 1"/>
    <w:basedOn w:val="Normal"/>
    <w:next w:val="Normal"/>
    <w:qFormat/>
    <w:rPr>
      <w:color w:val="2E74B5"/>
      <w:sz w:val="28"/>
      <w:szCs w:val="28"/>
    </w:rPr>
  </w:style>
  <w:style w:type="paragraph" w:styleId="Heading2">
    <w:name w:val="Heading 2"/>
    <w:basedOn w:val="Normal"/>
    <w:next w:val="Normal"/>
    <w:qFormat/>
    <w:rPr>
      <w:color w:val="2E74B5"/>
      <w:sz w:val="22"/>
      <w:szCs w:val="22"/>
    </w:rPr>
  </w:style>
  <w:style w:type="paragraph" w:styleId="Heading3">
    <w:name w:val="Heading 3"/>
    <w:basedOn w:val="Normal"/>
    <w:next w:val="Normal"/>
    <w:qFormat/>
    <w:rPr>
      <w:color w:val="1F4D78"/>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7"/>
      <w:szCs w:val="17"/>
    </w:rPr>
  </w:style>
  <w:style w:type="character" w:styleId="FootnoteTextChar">
    <w:name w:val="Footnote Text Char"/>
    <w:basedOn w:val="DefaultParagraphFont"/>
    <w:link w:val="FootnoteText"/>
    <w:uiPriority w:val="99"/>
    <w:semiHidden/>
    <w:unhideWhenUsed/>
    <w:rPr>
      <w:sz w:val="17"/>
      <w:szCs w:val="17"/>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letters/occ-mvep-v4/" TargetMode="External"/><Relationship Id="rId7" Type="http://schemas.openxmlformats.org/officeDocument/2006/relationships/hyperlink" Target="https://tokenization.systems/letters/occ-supplemental/" TargetMode="External"/><Relationship Id="rId8" Type="http://schemas.openxmlformats.org/officeDocument/2006/relationships/hyperlink" Target="https://tokenization.systems/letters/treasury-genius-state-similarity/" TargetMode="External"/><Relationship Id="rId10" Type="http://schemas.openxmlformats.org/officeDocument/2006/relationships/hyperlink" Target="https://tokenization.systems/letters/fdic-ag19-ppsi-activities/" TargetMode="External"/><Relationship Id="rId11" Type="http://schemas.openxmlformats.org/officeDocument/2006/relationships/hyperlink" Target="https://tokenization.systems/letters/fdic-ag20-ppsi-application/" TargetMode="External"/><Relationship Id="rId12" Type="http://schemas.openxmlformats.org/officeDocument/2006/relationships/hyperlink" Target="https://tokenization.systems/letters/fincen-aml-cft/" TargetMode="External"/><Relationship Id="rId13" Type="http://schemas.openxmlformats.org/officeDocument/2006/relationships/hyperlink" Target="https://tokenization.systems/letters/fincen-ofac-ppsi-sanctions/" TargetMode="External"/><Relationship Id="rId14" Type="http://schemas.openxmlformats.org/officeDocument/2006/relationships/hyperlink" Target="https://tokenization.systems/letters/banking-agencies-joint-aml/" TargetMode="External"/><Relationship Id="rId15" Type="http://schemas.openxmlformats.org/officeDocument/2006/relationships/hyperlink" Target="https://tokenization.systems/letters/fsb-ai-sound-practices/" TargetMode="External"/><Relationship Id="rId16" Type="http://schemas.openxmlformats.org/officeDocument/2006/relationships/hyperlink" Target="https://tokenization.systems/papers/routing-the-dollar/" TargetMode="External"/><Relationship Id="rId17" Type="http://schemas.openxmlformats.org/officeDocument/2006/relationships/hyperlink" Target="https://www.frontiersin.org/journals/blockchain/articles/10.3389/fbloc.2026.1853465/full" TargetMode="External"/><Relationship Id="rId18" Type="http://schemas.openxmlformats.org/officeDocument/2006/relationships/hyperlink" Target="https://tokenization.systems/papers/control-layer-war/" TargetMode="External"/><Relationship Id="rId19" Type="http://schemas.openxmlformats.org/officeDocument/2006/relationships/hyperlink" Target="https://tokenization.systems/papers/mvep/" TargetMode="External"/><Relationship Id="rId20" Type="http://schemas.openxmlformats.org/officeDocument/2006/relationships/hyperlink" Target="https://tokenization.systems/papers/adaptive-tokenomics/" TargetMode="External"/><Relationship Id="rId21" Type="http://schemas.openxmlformats.org/officeDocument/2006/relationships/hyperlink" Target="https://tokenization.systems/papers/operational-risk/" TargetMode="External"/><Relationship Id="rId22" Type="http://schemas.openxmlformats.org/officeDocument/2006/relationships/hyperlink" Target="https://tokenization.systems/papers/agentic-payments-control-layer/" TargetMode="External"/><Relationship Id="rId23" Type="http://schemas.openxmlformats.org/officeDocument/2006/relationships/hyperlink" Target="https://tokenization.systems/papers/seven-dollars/" TargetMode="External"/><Relationship Id="rId24" Type="http://schemas.openxmlformats.org/officeDocument/2006/relationships/hyperlink" Target="https://tokenization.systems/papers/dollar-v3/" TargetMode="External"/><Relationship Id="rId25" Type="http://schemas.openxmlformats.org/officeDocument/2006/relationships/hyperlink" Target="https://tokenization.systems/papers/three-strategies/" TargetMode="External"/><Relationship Id="rId26" Type="http://schemas.openxmlformats.org/officeDocument/2006/relationships/hyperlink" Target="https://tokenization.systems/papers/who-burns-the-tokens/" TargetMode="External"/><Relationship Id="rId27" Type="http://schemas.openxmlformats.org/officeDocument/2006/relationships/hyperlink" Target="https://medium.com/borderless-capital/introduction-to-tokenomics-c7af75c09bfe" TargetMode="External"/><Relationship Id="rId28" Type="http://schemas.openxmlformats.org/officeDocument/2006/relationships/hyperlink" Target="https://tokenization.systems/frameworks/#clii" TargetMode="External"/><Relationship Id="rId29" Type="http://schemas.openxmlformats.org/officeDocument/2006/relationships/hyperlink" Target="https://tokenization.systems/frameworks/#mvep" TargetMode="External"/><Relationship Id="rId30" Type="http://schemas.openxmlformats.org/officeDocument/2006/relationships/hyperlink" Target="https://tokenization.systems/frameworks/#mgcpt" TargetMode="External"/><Relationship Id="rId31" Type="http://schemas.openxmlformats.org/officeDocument/2006/relationships/hyperlink" Target="https://tokenization.systems/frameworks/#3cr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