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~$500M AUM · 250 investments (~25% deployment rate) · ~75 DATs analyzed, 18 invested · LayerZero seed (~80x) · 8 SSRN papers · 12 federal comment letters · Patent⁠-⁠pending Canonical⁠-⁠State Architecture for multi⁠-⁠agent AI research (five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Tokenized-product investment researcher who underwrites tokenized money-market funds, deposit tokens, stablecoins, and yield wrappers from sourcing through committee. First hire at Borderless Capital, an RIA; now founder of Tokenization Systems.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tokenized-product diligence, portfolio construction, build-versus-hold allocation, NAV and mNAV analysis, deal sourcing · scenario modeling, Monte Carlo, difference-in-differences · pre-seed to Series C, Digital Asset Treasuries.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twelve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1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Tokenized Equity Vehicles.</w:t>
        </w:r>
      </w:hyperlink>
      <w:r>
        <w:t xml:space="preserve"> Comparative analysis of Robinhood Stock Tokens and Backed xStocks across legal form, investor claim, liquidity architecture, and corporate-actions reconciliation; the binding constraints that determine whether institutions can hold, trade, and report tokenized equity.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(2025)</w:t>
      </w:r>
    </w:p>
    <w:p>
      <w:pPr>
        <w:spacing w:after="38" w:before="60"/>
      </w:pPr>
      <w:r>
        <w:t>• ETHDenver pitch judge (2025)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3CRD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3crd" TargetMode="External"/><Relationship Id="rId30" Type="http://schemas.openxmlformats.org/officeDocument/2006/relationships/hyperlink" Target="https://tokenization.systems/papers/tokenized-equity/" TargetMode="External"/><Relationship Id="rId31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