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19 federal comment letters · FSB AI consultation response · 9 SSRN papers · Dialogues across national security think tanks, securities exchanges, Central Securities Depositories, payments messaging, tier⁠-⁠1 banks, SEC⁠-⁠registered transfer agents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19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AI-domain extensions of the Minimum Viable Equivalence Pack and Control Layer Intensity Index (MVEP-AI / CLII-AI).</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 nine-paper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77-skill library and 33-file canonical-state architecture;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