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DIGITAL ASSET PRODUCT · TOKENIZED MONEY AND PAYMENTS · INSTITUTIONAL DILIGENCE</w:t>
      </w:r>
    </w:p>
    <w:p>
      <w:pPr>
        <w:spacing w:after="10"/>
        <w:jc w:val="center"/>
      </w:pPr>
      <w:r>
        <w:rPr>
          <w:b w:val="0"/>
          <w:i w:val="0"/>
          <w:sz w:val="15"/>
        </w:rPr>
        <w:t>· Digital assets since 2016 (10 years) · 1,000+ deal funnel · 100 portfolio companies advised 1⁠-⁠on⁠-⁠1 (50+ multi⁠-⁠session) · LayerZero seed (~80x) · Thorchain $200M insolvency modeled 13 months ahead · 8 SSRN papers · 18 federal comment letters</w:t>
        <w:br/>
        <w:t>· 30 USPTO patent applications across 20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6"/>
          <w:szCs w:val="16"/>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eighteen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published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19">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4">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5">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73-skill library and 33-file canonical-state architecture</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www.frontiersin.org/journals/blockchain/articles/10.3389/fbloc.2026.1853465/full" TargetMode="External"/><Relationship Id="rId19" Type="http://schemas.openxmlformats.org/officeDocument/2006/relationships/hyperlink" Target="https://tokenization.systems/papers/agentic-payments-control-layer/"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operational-risk/" TargetMode="External"/><Relationship Id="rId25" Type="http://schemas.openxmlformats.org/officeDocument/2006/relationships/hyperlink" Target="https://tokenization.systems/papers/who-burns-the-tokens/" TargetMode="External"/><Relationship Id="rId26" Type="http://schemas.openxmlformats.org/officeDocument/2006/relationships/hyperlink" Target="https://medium.com/borderless-capital/introduction-to-tokenomics-c7af75c09bfe"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