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AI GOVERNANCE · CONTROL-LAYER ACCOUNTABILITY · STABLECOIN-AS-PRECEDENT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14 custom MCP servers · ~75 DATs analyzed · diligence⁠-⁠doc review shortened from 4hr to 1hr per deal · 8 SSRN papers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AI-augmented research and governance infrastructure strategist. Built 14 custom Python MCP servers (FRED macro data, DefiLlama / CoinGecko / Artemis stablecoin and DeFi data, Helius for Solana, Etherscan / Blockscout for EVM chains, rated.network / Beaconcha.in for validator data, Tally for DAO governance, Dune Analytics, Spacescope, Nansen for wallet flows, and GitHub for specs and code) plus AI-assisted diligence workflows reducing subscription-document review ~4x (4 hours to 1 hour per deal) and automated SEC-filing and press-release monitoring covering ~75 Digital Asset Treasury Stocks (DATs) in 2025. Founding research hire at Borderless Capital (RIA, Dec 2019 to Feb 2026); shipped 250 portfolio investments at ~$500M AUM; predicted Thorchain's $200M insolvency 13 months ahead; sourced the LayerZero seed (~80x). Now founder of Tokenization Systems (Feb 2026 to present); published eight SSRN papers including Governance Concentration Beyond Token Allocation (40-protocol cross-section; protocol sector predicts governance concentration more than initial token allocation; Cohen's d = 0.96 between DePIN and DeFi) and Operational Risk in Token Economies. The control-layer / operator-accountability lens extends to AI deployment via the MVEP-AI extension track (8-skill suite) and A7 Control Layer Theory.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Causal DiD);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CSDs, payments messaging infrastructure, tier-1 banks,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Dollar v3.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>• Authored CLII (A1), MVEP (A2), MGCPT, TCRD; drafted MVEP-AI (eight-skill suite) and CLII-AI.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 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who-burns-the-token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