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dialogues across national-security research, securities exchanges, CSDs, payments messaging, tier-1 banks, SEC-registered transfer agents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Causal DiD);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