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FOUNDER, TOKENIZATION SYSTEMS · AI CONTROL⁠-⁠LAYER ACCOUNTABILITY</w:t>
        <w:br/>
      </w:r>
      <w:r>
        <w:rPr>
          <w:rFonts w:ascii="Arial" w:cs="Arial" w:eastAsia="Arial" w:hAnsi="Arial"/>
          <w:b/>
          <w:bCs/>
          <w:color w:val="1A1A1A"/>
          <w:sz w:val="23"/>
          <w:szCs w:val="23"/>
        </w:rPr>
        <w:t>· MACHINE⁠-⁠READABLE STABLECOIN CLASSIFICATION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>· 22 MCP + API connections · ~75 DATs analyzed · Diligence⁠-⁠doc review 4hr to 1hr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>• Filed a US provisional patent for the Canonical-State Architecture (USPTO 64/071,767, May 2026):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 (45 claims); validated across ~1,521 commits and 4 to 6 parallel AI coding sessions over ~4 months, with a companion 62-page methodology preprint. A second provisional (USPTO 19/693,448, May 2026) extends the architecture to role-routed cross-session coordination, actual-touched-file collision detection, and a self-describing verification registry.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