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w:history="1" r:id="rIdtk3pkbjp0bnea-khivcha">
        <w:r>
          <w:rPr>
            <w:rFonts w:ascii="Arial" w:cs="Arial" w:eastAsia="Arial" w:hAnsi="Arial"/>
            <w:color w:val="2255AA"/>
            <w:sz w:val="18"/>
            <w:szCs w:val="18"/>
          </w:rPr>
          <w:t xml:space="preserve">Tokenization.Systems</w:t>
        </w:r>
      </w:hyperlink>
      <w:r>
        <w:rPr>
          <w:rFonts w:ascii="Arial" w:cs="Arial" w:eastAsia="Arial" w:hAnsi="Arial"/>
          <w:color w:val="444444"/>
          <w:sz w:val="18"/>
          <w:szCs w:val="18"/>
        </w:rPr>
        <w:t xml:space="preserve">  |  </w:t>
      </w:r>
      <w:hyperlink w:history="1" r:id="rIdnnxna0daueqz2sdxissom">
        <w:r>
          <w:rPr>
            <w:rFonts w:ascii="Arial" w:cs="Arial" w:eastAsia="Arial" w:hAnsi="Arial"/>
            <w:color w:val="2255AA"/>
            <w:sz w:val="18"/>
            <w:szCs w:val="18"/>
          </w:rPr>
          <w:t xml:space="preserve">LinkedIn</w:t>
        </w:r>
      </w:hyperlink>
      <w:r>
        <w:rPr>
          <w:rFonts w:ascii="Arial" w:cs="Arial" w:eastAsia="Arial" w:hAnsi="Arial"/>
          <w:color w:val="444444"/>
          <w:sz w:val="18"/>
          <w:szCs w:val="18"/>
        </w:rPr>
        <w:t xml:space="preserve">  |  </w:t>
      </w:r>
      <w:hyperlink w:history="1" r:id="rIdrdmpe-g4zsyvawvrrkisd">
        <w:r>
          <w:rPr>
            <w:rFonts w:ascii="Arial" w:cs="Arial" w:eastAsia="Arial" w:hAnsi="Arial"/>
            <w:color w:val="2255AA"/>
            <w:sz w:val="18"/>
            <w:szCs w:val="18"/>
          </w:rPr>
          <w:t xml:space="preserve">SSRN</w:t>
        </w:r>
      </w:hyperlink>
      <w:r>
        <w:rPr>
          <w:sz w:val="18"/>
          <w:szCs w:val="18"/>
        </w:rPr>
        <w:t xml:space="preserve">  |  </w:t>
      </w:r>
      <w:hyperlink r:id="rId2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Digital assets since 2016 (10 years) · 22 MCP + API connections · Diligence⁠-⁠doc review 4hr to 1hr</w:t>
        <w:br/>
        <w:t>· 8 SSRN papers · 14 federal comment letters · FSB AI consultation response</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40" w:before="160"/>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tokenization.systems/agent-infrastructur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