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7"/>
          <w:szCs w:val="37"/>
        </w:rPr>
        <w:t xml:space="preserve">Zach Zukowski</w:t>
      </w:r>
    </w:p>
    <w:p>
      <w:pPr>
        <w:spacing w:after="10"/>
        <w:jc w:val="center"/>
      </w:pPr>
      <w:r>
        <w:rPr>
          <w:rFonts w:ascii="Arial" w:cs="Arial" w:eastAsia="Arial" w:hAnsi="Arial"/>
          <w:color w:val="444444"/>
          <w:sz w:val="17"/>
          <w:szCs w:val="17"/>
        </w:rPr>
        <w:t xml:space="preserve">Orlando, FL | Zach@Tokenization.Systems | 407-536-8625</w:t>
      </w:r>
    </w:p>
    <w:p>
      <w:pPr>
        <w:spacing w:after="55"/>
        <w:jc w:val="center"/>
      </w:pPr>
      <w:hyperlink w:history="1" r:id="rIdtk3pkbjp0bnea-khivcha">
        <w:r>
          <w:rPr>
            <w:rFonts w:ascii="Arial" w:cs="Arial" w:eastAsia="Arial" w:hAnsi="Arial"/>
            <w:color w:val="2255AA"/>
            <w:sz w:val="17"/>
            <w:szCs w:val="17"/>
          </w:rPr>
          <w:t xml:space="preserve">Tokenization.Systems</w:t>
        </w:r>
      </w:hyperlink>
      <w:r>
        <w:rPr>
          <w:rFonts w:ascii="Arial" w:cs="Arial" w:eastAsia="Arial" w:hAnsi="Arial"/>
          <w:color w:val="444444"/>
          <w:sz w:val="17"/>
          <w:szCs w:val="17"/>
        </w:rPr>
        <w:t xml:space="preserve">  |  </w:t>
      </w:r>
      <w:hyperlink w:history="1" r:id="rIdnnxna0daueqz2sdxissom">
        <w:r>
          <w:rPr>
            <w:rFonts w:ascii="Arial" w:cs="Arial" w:eastAsia="Arial" w:hAnsi="Arial"/>
            <w:color w:val="2255AA"/>
            <w:sz w:val="17"/>
            <w:szCs w:val="17"/>
          </w:rPr>
          <w:t xml:space="preserve">LinkedIn</w:t>
        </w:r>
      </w:hyperlink>
      <w:r>
        <w:rPr>
          <w:rFonts w:ascii="Arial" w:cs="Arial" w:eastAsia="Arial" w:hAnsi="Arial"/>
          <w:color w:val="444444"/>
          <w:sz w:val="17"/>
          <w:szCs w:val="17"/>
        </w:rPr>
        <w:t xml:space="preserve">  |  </w:t>
      </w:r>
      <w:hyperlink w:history="1" r:id="rIdrdmpe-g4zsyvawvrrkisd">
        <w:r>
          <w:rPr>
            <w:rFonts w:ascii="Arial" w:cs="Arial" w:eastAsia="Arial" w:hAnsi="Arial"/>
            <w:color w:val="2255AA"/>
            <w:sz w:val="17"/>
            <w:szCs w:val="17"/>
          </w:rPr>
          <w:t xml:space="preserve">SSRN</w:t>
        </w:r>
      </w:hyperlink>
    </w:p>
    <w:p>
      <w:pPr>
        <w:spacing w:after="15"/>
        <w:jc w:val="center"/>
      </w:pPr>
      <w:r>
        <w:rPr>
          <w:rFonts w:ascii="Arial" w:cs="Arial" w:eastAsia="Arial" w:hAnsi="Arial"/>
          <w:b/>
          <w:bCs/>
          <w:color w:val="1A1A1A"/>
          <w:sz w:val="21"/>
          <w:szCs w:val="21"/>
        </w:rPr>
        <w:t>TOKENIZED-PRODUCT INVESTMENT MANAGEMENT · DUE DILIGENCE · PORTFOLIO STRATEGY</w:t>
      </w:r>
    </w:p>
    <w:p>
      <w:pPr>
        <w:spacing w:after="10"/>
        <w:jc w:val="center"/>
      </w:pPr>
      <w:r>
        <w:rPr>
          <w:b w:val="0"/>
          <w:i w:val="0"/>
          <w:sz w:val="17"/>
        </w:rPr>
        <w:t>· Digital assets since 2016 (10 years) · ~$500M AUM · 250 investments (~25% deployment rate) · ~75 DATs analyzed, 18 invested · LayerZero seed (~80x) · 8 SSRN papers · 14 federal comment letters</w:t>
        <w:br/>
        <w:t>· 17 USPTO patent applications across 9 families (Canonical⁠-⁠State Architecture for multi⁠-⁠agent AI research)</w:t>
      </w:r>
    </w:p>
    <w:p>
      <w:pPr>
        <w:pBdr>
          <w:bottom w:val="single" w:color="AAAAAA" w:sz="3" w:space="1"/>
        </w:pBdr>
        <w:spacing w:before="280" w:after="120"/>
      </w:pPr>
      <w:r>
        <w:rPr>
          <w:rFonts w:ascii="Arial" w:cs="Arial" w:eastAsia="Arial" w:hAnsi="Arial"/>
          <w:b/>
          <w:bCs/>
          <w:color w:val="1A1A1A"/>
          <w:sz w:val="18"/>
          <w:szCs w:val="18"/>
        </w:rPr>
        <w:t xml:space="preserve">SUMMARY</w:t>
      </w:r>
    </w:p>
    <w:p>
      <w:pPr>
        <w:spacing w:after="38"/>
      </w:pPr>
      <w:r>
        <w:rPr>
          <w:rFonts w:ascii="Arial" w:cs="Arial" w:eastAsia="Arial" w:hAnsi="Arial"/>
          <w:color w:val="1A1A1A"/>
          <w:sz w:val="17"/>
          <w:szCs w:val="17"/>
        </w:rPr>
        <w:t>Ten years in digital assets: independent protocol research from Jul 2016, institutional practice from Dec 2019. Tokenized-product investment researcher who underwrites tokenized money-market funds, deposit tokens, stablecoins, and yield wrappers from sourcing through committee. First hire at Borderless Capital, an RIA; now founder of Tokenization Systems.</w:t>
      </w:r>
    </w:p>
    <w:p>
      <w:pPr>
        <w:spacing w:after="38"/>
      </w:pPr>
      <w:r>
        <w:rPr>
          <w:rFonts w:ascii="Arial" w:cs="Arial" w:eastAsia="Arial" w:hAnsi="Arial"/>
          <w:color w:val="1A1A1A"/>
          <w:sz w:val="17"/>
          <w:szCs w:val="17"/>
        </w:rPr>
        <w:t>Focus: tokenized-product diligence, portfolio construction, build-versus-hold allocation, NAV and mNAV analysis, deal sourcing · scenario modeling, Monte Carlo, difference-in-differences · pre-seed to Series C, Digital Asset Treasuries.</w:t>
      </w:r>
    </w:p>
    <w:p>
      <w:pPr>
        <w:pBdr>
          <w:bottom w:val="single" w:color="AAAAAA" w:sz="3" w:space="1"/>
        </w:pBdr>
        <w:spacing w:before="280" w:after="120"/>
      </w:pPr>
      <w:r>
        <w:rPr>
          <w:rFonts w:ascii="Arial" w:cs="Arial" w:eastAsia="Arial" w:hAnsi="Arial"/>
          <w:b/>
          <w:bCs/>
          <w:color w:val="1A1A1A"/>
          <w:sz w:val="18"/>
          <w:szCs w:val="18"/>
        </w:rPr>
        <w:t xml:space="preserve">EXPERIENCE</w:t>
      </w:r>
    </w:p>
    <w:p>
      <w:pPr>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an eight-paper SSRN-live research program covering the </w:t>
      </w:r>
      <w:hyperlink r:id="rId6">
        <w:r>
          <w:rPr>
            <w:rStyle w:val="Hyperlink"/>
          </w:rPr>
          <w:t xml:space="preserve">Control Layer Intensity Index</w:t>
        </w:r>
      </w:hyperlink>
      <w:r>
        <w:t xml:space="preserve"> (CLII) for gateway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xml:space="preserve">), </w:t>
      </w:r>
      <w:hyperlink r:id="rId10">
        <w:r>
          <w:rPr>
            <w:rStyle w:val="Hyperlink"/>
          </w:rPr>
          <w:t xml:space="preserve">governance concentration</w:t>
        </w:r>
      </w:hyperlink>
      <w:r>
        <w:t xml:space="preserve">, and </w:t>
      </w:r>
      <w:hyperlink r:id="rId11">
        <w:r>
          <w:rPr>
            <w:rStyle w:val="Hyperlink"/>
          </w:rPr>
          <w:t xml:space="preserve">operational risk in token economies</w:t>
        </w:r>
      </w:hyperlink>
      <w:r>
        <w:t>. Three additional papers in development (B5 Bankruptcy-Priority Misaligned Incentives, A7 Control Layer Theory, SVB Reserve Concentration); methodology paper in preparation.</w:t>
      </w:r>
    </w:p>
    <w:p>
      <w:pPr>
        <w:spacing w:after="36"/>
        <w:ind w:left="320" w:hanging="160"/>
      </w:pPr>
      <w:r>
        <w:t xml:space="preserve">• Contributed fourteen comment letters across a federal regulatory program (OCC bank stablecoin engagement </w:t>
      </w:r>
      <w:hyperlink r:id="rId12">
        <w:r>
          <w:rPr>
            <w:rStyle w:val="Hyperlink"/>
          </w:rPr>
          <w:t xml:space="preserve">RIN 1557-AF41</w:t>
        </w:r>
      </w:hyperlink>
      <w:r>
        <w:t xml:space="preserve"> plus </w:t>
      </w:r>
      <w:hyperlink r:id="rId13">
        <w:r>
          <w:rPr>
            <w:rStyle w:val="Hyperlink"/>
          </w:rPr>
          <w:t xml:space="preserve">supplemental control-layer extension</w:t>
        </w:r>
      </w:hyperlink>
      <w:r>
        <w:t xml:space="preserve">; </w:t>
      </w:r>
      <w:hyperlink r:id="rId14">
        <w:r>
          <w:rPr>
            <w:rStyle w:val="Hyperlink"/>
          </w:rPr>
          <w:t xml:space="preserve">Treasury GENIUS Act state similarity</w:t>
        </w:r>
      </w:hyperlink>
      <w:r>
        <w:t xml:space="preserve">; FDIC payment-stablecoin reserve standards </w:t>
      </w:r>
      <w:hyperlink r:id="rId15">
        <w:r>
          <w:rPr>
            <w:rStyle w:val="Hyperlink"/>
          </w:rPr>
          <w:t xml:space="preserve">RIN 3064-AG19</w:t>
        </w:r>
      </w:hyperlink>
      <w:r>
        <w:t xml:space="preserve"> and stablecoin-subsidiary issuance approvals </w:t>
      </w:r>
      <w:hyperlink r:id="rId16">
        <w:r>
          <w:rPr>
            <w:rStyle w:val="Hyperlink"/>
          </w:rPr>
          <w:t xml:space="preserve">RIN 3064-AG20</w:t>
        </w:r>
      </w:hyperlink>
      <w:r>
        <w:t xml:space="preserve">; FinCEN AML/CFT </w:t>
      </w:r>
      <w:hyperlink r:id="rId17">
        <w:r>
          <w:rPr>
            <w:rStyle w:val="Hyperlink"/>
          </w:rPr>
          <w:t xml:space="preserve">FINCEN-2026-0034</w:t>
        </w:r>
      </w:hyperlink>
      <w:r>
        <w:t xml:space="preserve">; FinCEN-OFAC PPSI sanctions </w:t>
      </w:r>
      <w:hyperlink r:id="rId18">
        <w:r>
          <w:rPr>
            <w:rStyle w:val="Hyperlink"/>
          </w:rPr>
          <w:t xml:space="preserve">FINCEN-2026-0100</w:t>
        </w:r>
      </w:hyperlink>
      <w:r>
        <w:t xml:space="preserve">; joint banking AML/CFT </w:t>
      </w:r>
      <w:hyperlink r:id="rId19">
        <w:r>
          <w:rPr>
            <w:rStyle w:val="Hyperlink"/>
          </w:rPr>
          <w:t xml:space="preserve">91 FR 18304</w:t>
        </w:r>
      </w:hyperlink>
      <w:r>
        <w:t xml:space="preserve">); </w:t>
      </w:r>
      <w:hyperlink r:id="rId20">
        <w:r>
          <w:rPr>
            <w:rStyle w:val="Hyperlink"/>
          </w:rPr>
          <w:t xml:space="preserve">Routing the Dollar</w:t>
        </w:r>
      </w:hyperlink>
      <w:r>
        <w:t xml:space="preserve"> prepared for the Federal Reserve Fifth Conference on the Dollar's International Roles (Jun 2026); </w:t>
      </w:r>
      <w:hyperlink r:id="rId10">
        <w:r>
          <w:rPr>
            <w:rStyle w:val="Hyperlink"/>
          </w:rPr>
          <w:t xml:space="preserve">Governance Concentration</w:t>
        </w:r>
      </w:hyperlink>
      <w:r>
        <w:t xml:space="preserve"> accepted for publication at Frontiers in Blockchain.</w:t>
      </w:r>
    </w:p>
    <w:p>
      <w:pPr>
        <w:spacing w:after="36"/>
        <w:ind w:left="320" w:hanging="160"/>
      </w:pPr>
      <w:r>
        <w:t>• Working dialogue with capital-markets infrastructure operators on stablecoin, deposit-token, tokenized-deposit, and tokenized-equity deployment.</w:t>
      </w:r>
    </w:p>
    <w:p>
      <w:pPr>
        <w:tabs>
          <w:tab w:val="right" w:pos="10320"/>
        </w:tabs>
        <w:spacing w:after="40" w:before="160"/>
      </w:pPr>
      <w:r>
        <w:rPr>
          <w:b/>
        </w:rPr>
        <w:t>Senior Investment Analyst, Digital Assets</w:t>
      </w:r>
      <w:r>
        <w:t xml:space="preserve"> · Borderless Capital (RIA; first hire)</w:t>
      </w:r>
      <w:r>
        <w:tab/>
      </w:r>
      <w:r>
        <w:rPr>
          <w:i/>
        </w:rPr>
        <w:t>Dec 2019 to Feb 2026</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spacing w:after="36"/>
        <w:ind w:left="320" w:hanging="160"/>
      </w:pPr>
      <w:r>
        <w:t>• Shipped 250 portfolio investments (~25% deployment rate) across ~10 institutional funds (~$500M AUM) from a 1,000+ deal pre-seed-to-Series-C funnel, with build/partner/hold recommendations to committee.</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Built quantitative token-economic models forecasting emissions, fee capture, pricing and subsidy-to-revenue trajectories, and governance concentration under wide scenario ranges; supply-equilibrium and slashing dynamics supporting Layer 1 business-model and mechanism-design advisory.</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tokenization offerings in 2025 and invested in 18; AI-assisted diligence workflows reducing subscription-document review from ~4 hours to ~1 hour per deal.</w:t>
      </w:r>
    </w:p>
    <w:p>
      <w:pPr>
        <w:spacing w:after="36"/>
        <w:ind w:left="320" w:hanging="160"/>
      </w:pPr>
      <w:r>
        <w:t>• Mapped jurisdictional tax / regulatory advantages of DAT structures over direct crypto holding: Japan's Metaplanet DAT cuts crypto capital-gains tax from up to 55% to 20% (equity rate, further reducible via Japan's IRA structure).</w:t>
      </w:r>
    </w:p>
    <w:p>
      <w:pPr>
        <w:spacing w:after="36"/>
        <w:ind w:left="320" w:hanging="160"/>
      </w:pPr>
      <w:r>
        <w:t>• Built apples-to-apples multiple on NAV (mNAV) methodology for Digital Asset Treasury Stocks (DATs) and shipped a daily mNAV dashboard sourcing SEC filings and press releases; standardized treatment of non-crypto assets in the numerator across issuers (issuer-reported mNAV figures use inconsistent conventions that undermine cross-DAT comparison).</w:t>
      </w:r>
    </w:p>
    <w:p>
      <w:pPr>
        <w:keepNext/>
        <w:tabs>
          <w:tab w:val="right" w:pos="10320"/>
        </w:tabs>
        <w:spacing w:after="40" w:before="160"/>
      </w:pPr>
      <w:r>
        <w:rPr>
          <w:b/>
        </w:rPr>
        <w:t>Blockchain Research Analyst (Independent)</w:t>
      </w:r>
      <w:r>
        <w:t xml:space="preserve"> · Self-Employed</w:t>
      </w:r>
      <w:r>
        <w:tab/>
      </w:r>
      <w:r>
        <w:rPr>
          <w:i/>
        </w:rPr>
        <w:t>Jul 2016 to Present</w:t>
      </w:r>
    </w:p>
    <w:p>
      <w:pPr>
        <w:keepLines/>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keepLines/>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keepLines/>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8"/>
          <w:szCs w:val="18"/>
        </w:rPr>
        <w:t xml:space="preserve">SELECTED RESEARCH</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production-validated by Circle's BUIDL March 27, 2025 incident (23 hours of limited availability). Editor-invited submission to the Journal of Financial Regulation.</w:t>
      </w:r>
    </w:p>
    <w:p>
      <w:pPr>
        <w:spacing w:after="28"/>
        <w:ind w:left="320" w:hanging="160"/>
      </w:pPr>
      <w:r>
        <w:t xml:space="preserve">• </w:t>
      </w:r>
      <w:hyperlink r:id="rId22">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3">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4">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institutional scoping of product shape and counterparty topology.</w:t>
      </w:r>
    </w:p>
    <w:p>
      <w:pPr>
        <w:spacing w:after="28"/>
        <w:ind w:left="320" w:hanging="160"/>
      </w:pPr>
      <w:r>
        <w:t xml:space="preserve">• </w:t>
      </w:r>
      <w:hyperlink r:id="rId20">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5">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26">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8">
        <w:r>
          <w:rPr>
            <w:rStyle w:val="Hyperlink"/>
            <w:b/>
          </w:rPr>
          <w:t xml:space="preserve">Adaptive Tokenomics.</w:t>
        </w:r>
      </w:hyperlink>
      <w:r>
        <w:t xml:space="preserve"> Industrial control engineering (PID, Proportional-Integral-Derivative) applied to token-supply emission as programmable monetary-policy mechanism; 806-run agent-based simulation battery; PID emission control cuts worst-case node-count variance from CV (coefficient of variation) 0.544 (static emission) to 0.087 (PID), functioning as downside insurance under competitor-shock attack.</w:t>
      </w:r>
    </w:p>
    <w:p>
      <w:pPr>
        <w:spacing w:after="28"/>
        <w:ind w:left="320" w:hanging="160"/>
      </w:pPr>
      <w:r>
        <w:t xml:space="preserve">• </w:t>
      </w:r>
      <w:hyperlink r:id="rId11">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10">
        <w:r>
          <w:rPr>
            <w:rStyle w:val="Hyperlink"/>
            <w:b/>
          </w:rPr>
          <w:t xml:space="preserve">Auditing Governance Concentration Beyond Token Allocation.</w:t>
        </w:r>
      </w:hyperlink>
      <w:r>
        <w:t xml:space="preserve"> Accepted for publication at Frontiers in Blockchain.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7">
        <w:r>
          <w:rPr>
            <w:rStyle w:val="Hyperlink"/>
            <w:b/>
          </w:rPr>
          <w:t xml:space="preserve">Tokenized Equity Vehicles.</w:t>
        </w:r>
      </w:hyperlink>
      <w:r>
        <w:t xml:space="preserve"> Comparative analysis of Robinhood Stock Tokens and Backed xStocks across legal form, investor claim, liquidity architecture, and corporate-actions reconciliation; the binding constraints that determine whether institutions can hold, trade, and report tokenized equity.</w:t>
      </w:r>
    </w:p>
    <w:p>
      <w:pPr>
        <w:pBdr>
          <w:bottom w:val="single" w:color="AAAAAA" w:sz="3" w:space="1"/>
        </w:pBdr>
        <w:spacing w:before="280" w:after="120"/>
      </w:pPr>
      <w:r>
        <w:rPr>
          <w:rFonts w:ascii="Arial" w:cs="Arial" w:eastAsia="Arial" w:hAnsi="Arial"/>
          <w:b/>
          <w:bCs/>
          <w:color w:val="1A1A1A"/>
          <w:sz w:val="18"/>
          <w:szCs w:val="18"/>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36-skill library and 17-file living-knowledge architecture; n8n, Apify, Git / GitHub</w:t>
      </w:r>
    </w:p>
    <w:p>
      <w:pPr>
        <w:pBdr>
          <w:bottom w:val="single" w:color="AAAAAA" w:sz="3" w:space="1"/>
        </w:pBdr>
        <w:spacing w:before="280" w:after="120"/>
      </w:pPr>
      <w:r>
        <w:rPr>
          <w:rFonts w:ascii="Arial" w:cs="Arial" w:eastAsia="Arial" w:hAnsi="Arial"/>
          <w:b/>
          <w:bCs/>
          <w:color w:val="1A1A1A"/>
          <w:sz w:val="18"/>
          <w:szCs w:val="18"/>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1">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8"/>
          <w:szCs w:val="18"/>
        </w:rPr>
        <w:t>FRAMEWORKS AUTHORED</w:t>
      </w:r>
    </w:p>
    <w:p>
      <w:pPr>
        <w:spacing w:after="36"/>
        <w:ind w:left="320" w:hanging="160"/>
      </w:pPr>
      <w:r>
        <w:t>• Control Layer Intensity Index (</w:t>
      </w:r>
      <w:hyperlink r:id="rId28">
        <w:r>
          <w:rPr>
            <w:rStyle w:val="Hyperlink"/>
          </w:rPr>
          <w:t xml:space="preserve">CLII</w:t>
        </w:r>
      </w:hyperlink>
      <w:r>
        <w:t>), Minimum Viable Equivalence Pack (</w:t>
      </w:r>
      <w:hyperlink r:id="rId29">
        <w:r>
          <w:rPr>
            <w:rStyle w:val="Hyperlink"/>
          </w:rPr>
          <w:t xml:space="preserve">MVEP</w:t>
        </w:r>
      </w:hyperlink>
      <w:r>
        <w:t>), MVEP-gated Conditional Pass-Through (</w:t>
      </w:r>
      <w:hyperlink r:id="rId30">
        <w:r>
          <w:rPr>
            <w:rStyle w:val="Hyperlink"/>
          </w:rPr>
          <w:t xml:space="preserve">MGCPT</w:t>
        </w:r>
      </w:hyperlink>
      <w:r>
        <w:t xml:space="preserve">; </w:t>
      </w:r>
      <w:hyperlink r:id="rId15">
        <w:r>
          <w:rPr>
            <w:rStyle w:val="Hyperlink"/>
          </w:rPr>
          <w:t xml:space="preserve">AG19 Rec 7</w:t>
        </w:r>
      </w:hyperlink>
      <w:r>
        <w:t>), Three-Category Reserve Disclosure (</w:t>
      </w:r>
      <w:hyperlink r:id="rId31">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8"/>
          <w:szCs w:val="18"/>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7"/>
        <w:szCs w:val="17"/>
      </w:rPr>
    </w:rPrDefault>
    <w:pPrDefault/>
  </w:docDefaults>
  <w:style w:type="paragraph" w:styleId="Title">
    <w:name w:val="Title"/>
    <w:basedOn w:val="Normal"/>
    <w:next w:val="Normal"/>
    <w:qFormat/>
    <w:rPr>
      <w:sz w:val="52"/>
      <w:szCs w:val="52"/>
    </w:rPr>
  </w:style>
  <w:style w:type="paragraph" w:styleId="Heading1">
    <w:name w:val="Heading 1"/>
    <w:basedOn w:val="Normal"/>
    <w:next w:val="Normal"/>
    <w:qFormat/>
    <w:rPr>
      <w:color w:val="2E74B5"/>
      <w:sz w:val="29"/>
      <w:szCs w:val="29"/>
    </w:rPr>
  </w:style>
  <w:style w:type="paragraph" w:styleId="Heading2">
    <w:name w:val="Heading 2"/>
    <w:basedOn w:val="Normal"/>
    <w:next w:val="Normal"/>
    <w:qFormat/>
    <w:rPr>
      <w:color w:val="2E74B5"/>
      <w:sz w:val="24"/>
      <w:szCs w:val="24"/>
    </w:rPr>
  </w:style>
  <w:style w:type="paragraph" w:styleId="Heading3">
    <w:name w:val="Heading 3"/>
    <w:basedOn w:val="Normal"/>
    <w:next w:val="Normal"/>
    <w:qFormat/>
    <w:rPr>
      <w:color w:val="1F4D78"/>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8"/>
      <w:szCs w:val="18"/>
    </w:rPr>
  </w:style>
  <w:style w:type="character" w:styleId="FootnoteTextChar">
    <w:name w:val="Footnote Text Char"/>
    <w:basedOn w:val="DefaultParagraphFont"/>
    <w:link w:val="FootnoteText"/>
    <w:uiPriority w:val="99"/>
    <w:semiHidden/>
    <w:unhideWhenUsed/>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control-layer-w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tokenization.systems/papers/governance-concentration/" TargetMode="External"/><Relationship Id="rId11" Type="http://schemas.openxmlformats.org/officeDocument/2006/relationships/hyperlink" Target="https://tokenization.systems/papers/operational-risk/" TargetMode="External"/><Relationship Id="rId12" Type="http://schemas.openxmlformats.org/officeDocument/2006/relationships/hyperlink" Target="https://tokenization.systems/letters/occ-mvep-v4/" TargetMode="External"/><Relationship Id="rId13" Type="http://schemas.openxmlformats.org/officeDocument/2006/relationships/hyperlink" Target="https://tokenization.systems/letters/occ-supplemental/" TargetMode="External"/><Relationship Id="rId14" Type="http://schemas.openxmlformats.org/officeDocument/2006/relationships/hyperlink" Target="https://tokenization.systems/letters/treasury-genius-state-similarity/" TargetMode="External"/><Relationship Id="rId15" Type="http://schemas.openxmlformats.org/officeDocument/2006/relationships/hyperlink" Target="https://tokenization.systems/letters/fdic-ag19-ppsi-activities/" TargetMode="External"/><Relationship Id="rId16" Type="http://schemas.openxmlformats.org/officeDocument/2006/relationships/hyperlink" Target="https://tokenization.systems/letters/fdic-ag20-ppsi-application/" TargetMode="External"/><Relationship Id="rId17" Type="http://schemas.openxmlformats.org/officeDocument/2006/relationships/hyperlink" Target="https://tokenization.systems/letters/fincen-aml-cft/" TargetMode="External"/><Relationship Id="rId18" Type="http://schemas.openxmlformats.org/officeDocument/2006/relationships/hyperlink" Target="https://tokenization.systems/letters/fincen-ofac-ppsi-sanctions/" TargetMode="External"/><Relationship Id="rId19" Type="http://schemas.openxmlformats.org/officeDocument/2006/relationships/hyperlink" Target="https://tokenization.systems/letters/banking-agencies-joint-aml/" TargetMode="External"/><Relationship Id="rId20" Type="http://schemas.openxmlformats.org/officeDocument/2006/relationships/hyperlink" Target="https://tokenization.systems/papers/routing-the-dollar/" TargetMode="External"/><Relationship Id="rId21" Type="http://schemas.openxmlformats.org/officeDocument/2006/relationships/hyperlink" Target="https://medium.com/borderless-capital/introduction-to-tokenomics-c7af75c09bfe" TargetMode="External"/><Relationship Id="rId22" Type="http://schemas.openxmlformats.org/officeDocument/2006/relationships/hyperlink" Target="https://tokenization.systems/papers/three-strategies/" TargetMode="External"/><Relationship Id="rId23" Type="http://schemas.openxmlformats.org/officeDocument/2006/relationships/hyperlink" Target="https://tokenization.systems/papers/seven-dollars/" TargetMode="External"/><Relationship Id="rId24" Type="http://schemas.openxmlformats.org/officeDocument/2006/relationships/hyperlink" Target="https://tokenization.systems/papers/dollar-v3/" TargetMode="External"/><Relationship Id="rId25" Type="http://schemas.openxmlformats.org/officeDocument/2006/relationships/hyperlink" Target="https://tokenization.systems/papers/agentic-payments-control-layer/" TargetMode="External"/><Relationship Id="rId26" Type="http://schemas.openxmlformats.org/officeDocument/2006/relationships/hyperlink" Target="https://tokenization.systems/letters/fsb-ai-sound-practices/" TargetMode="External"/><Relationship Id="rId27" Type="http://schemas.openxmlformats.org/officeDocument/2006/relationships/hyperlink" Target="https://tokenization.systems/papers/tokenized-equity/" TargetMode="External"/><Relationship Id="rId28" Type="http://schemas.openxmlformats.org/officeDocument/2006/relationships/hyperlink" Target="https://tokenization.systems/frameworks/#clii" TargetMode="External"/><Relationship Id="rId29" Type="http://schemas.openxmlformats.org/officeDocument/2006/relationships/hyperlink" Target="https://tokenization.systems/frameworks/#mvep" TargetMode="External"/><Relationship Id="rId30" Type="http://schemas.openxmlformats.org/officeDocument/2006/relationships/hyperlink" Target="https://tokenization.systems/frameworks/#mgcpt" TargetMode="External"/><Relationship Id="rId31"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