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6"/>
          <w:szCs w:val="36"/>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w:history="1" r:id="rIdtk3pkbjp0bnea-khivcha">
        <w:r>
          <w:rPr>
            <w:rFonts w:ascii="Arial" w:cs="Arial" w:eastAsia="Arial" w:hAnsi="Arial"/>
            <w:color w:val="2255AA"/>
            <w:sz w:val="16"/>
            <w:szCs w:val="16"/>
          </w:rPr>
          <w:t xml:space="preserve">Tokenization.Systems</w:t>
        </w:r>
      </w:hyperlink>
      <w:r>
        <w:rPr>
          <w:rFonts w:ascii="Arial" w:cs="Arial" w:eastAsia="Arial" w:hAnsi="Arial"/>
          <w:color w:val="444444"/>
          <w:sz w:val="16"/>
          <w:szCs w:val="16"/>
        </w:rPr>
        <w:t xml:space="preserve">  |  </w:t>
      </w:r>
      <w:hyperlink w:history="1" r:id="rIdnnxna0daueqz2sdxissom">
        <w:r>
          <w:rPr>
            <w:rFonts w:ascii="Arial" w:cs="Arial" w:eastAsia="Arial" w:hAnsi="Arial"/>
            <w:color w:val="2255AA"/>
            <w:sz w:val="16"/>
            <w:szCs w:val="16"/>
          </w:rPr>
          <w:t xml:space="preserve">LinkedIn</w:t>
        </w:r>
      </w:hyperlink>
      <w:r>
        <w:rPr>
          <w:rFonts w:ascii="Arial" w:cs="Arial" w:eastAsia="Arial" w:hAnsi="Arial"/>
          <w:color w:val="444444"/>
          <w:sz w:val="16"/>
          <w:szCs w:val="16"/>
        </w:rPr>
        <w:t xml:space="preserve">  |  </w:t>
      </w:r>
      <w:hyperlink w:history="1" r:id="rIdrdmpe-g4zsyvawvrrkisd">
        <w:r>
          <w:rPr>
            <w:rFonts w:ascii="Arial" w:cs="Arial" w:eastAsia="Arial" w:hAnsi="Arial"/>
            <w:color w:val="2255AA"/>
            <w:sz w:val="16"/>
            <w:szCs w:val="16"/>
          </w:rPr>
          <w:t xml:space="preserve">SSRN</w:t>
        </w:r>
      </w:hyperlink>
    </w:p>
    <w:p>
      <w:pPr>
        <w:spacing w:after="15"/>
        <w:jc w:val="center"/>
      </w:pPr>
      <w:r>
        <w:rPr>
          <w:rFonts w:ascii="Arial" w:cs="Arial" w:eastAsia="Arial" w:hAnsi="Arial"/>
          <w:b/>
          <w:bCs/>
          <w:color w:val="1A1A1A"/>
          <w:sz w:val="20"/>
          <w:szCs w:val="20"/>
        </w:rPr>
        <w:t>DIGITAL ASSET PRODUCT · TOKENIZED MONEY AND PAYMENTS · INSTITUTIONAL DILIGENCE</w:t>
      </w:r>
    </w:p>
    <w:p>
      <w:pPr>
        <w:spacing w:after="10"/>
        <w:jc w:val="center"/>
      </w:pPr>
      <w:r>
        <w:rPr>
          <w:b w:val="0"/>
          <w:i w:val="0"/>
          <w:sz w:val="16"/>
        </w:rPr>
        <w:t>· Digital assets since 2016 (10 years) · 1,000+ deal funnel · 100 portfolio companies advised 1⁠-⁠on⁠-⁠1 (50+ multi⁠-⁠session) · LayerZero seed (~80x) · Thorchain $200M insolvency modeled 13 months ahead · 8 SSRN papers · 14 federal comment letters</w:t>
        <w:br/>
        <w:t>· 17 USPTO patent applications across 9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40" w:before="160"/>
      </w:pPr>
      <w:r>
        <w:rPr>
          <w:rFonts w:ascii="Arial" w:cs="Arial" w:eastAsia="Arial" w:hAnsi="Arial"/>
          <w:color w:val="1A1A1A"/>
          <w:sz w:val="16"/>
          <w:szCs w:val="16"/>
        </w:rPr>
        <w:t>Ten years in digital assets: independent protocol research from Jul 2016, institutional practice from Dec 2019. Digital-asset product strategist across stablecoins, deposit tokens, tokenized money-market funds, and on-chain payment rails, grounding product calls in control-layer and operator-accountability research. Founder of Tokenization Systems; first hire at Borderless Capital, an RIA.</w:t>
      </w:r>
    </w:p>
    <w:p>
      <w:pPr>
        <w:spacing w:after="38"/>
      </w:pPr>
      <w:r>
        <w:rPr>
          <w:rFonts w:ascii="Arial" w:cs="Arial" w:eastAsia="Arial" w:hAnsi="Arial"/>
          <w:color w:val="1A1A1A"/>
          <w:sz w:val="16"/>
          <w:szCs w:val="16"/>
        </w:rPr>
        <w:t>Focus: payment stablecoins, deposit tokens, tokenized money-market funds, on-chain payment rails · token-economic and scenario modeling, build-versus-partner framework design · OCC, FDIC, FinCEN, Treasury GENIUS, CLARITY, MiCA.</w:t>
      </w:r>
    </w:p>
    <w:p>
      <w:pPr>
        <w:pBdr>
          <w:bottom w:val="single" w:color="AAAAAA" w:sz="3" w:space="1"/>
        </w:pBdr>
        <w:spacing w:before="280" w:after="120"/>
      </w:pPr>
      <w:r>
        <w:rPr>
          <w:rFonts w:ascii="Arial" w:cs="Arial" w:eastAsia="Arial" w:hAnsi="Arial"/>
          <w:b/>
          <w:bCs/>
          <w:color w:val="1A1A1A"/>
          <w:sz w:val="17"/>
          <w:szCs w:val="17"/>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stablecoin gateway and payment-rail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governance concentration, and operational risk in token economies. Three additional papers in development (B5 Bankruptcy-Priority Misaligned Incentives, A7 Control Layer Theory, SVB Reserve Concentration); methodology paper in preparation.</w:t>
      </w:r>
    </w:p>
    <w:p>
      <w:pPr>
        <w:spacing w:after="36"/>
        <w:ind w:left="320" w:hanging="160"/>
      </w:pPr>
      <w:r>
        <w:t xml:space="preserve">• Contributed fourteen comment letters across a federal regulatory program (OCC bank stablecoin engagement </w:t>
      </w:r>
      <w:hyperlink r:id="rId10">
        <w:r>
          <w:rPr>
            <w:rStyle w:val="Hyperlink"/>
          </w:rPr>
          <w:t xml:space="preserve">RIN 1557-AF41</w:t>
        </w:r>
      </w:hyperlink>
      <w:r>
        <w:t xml:space="preserve"> plus </w:t>
      </w:r>
      <w:hyperlink r:id="rId11">
        <w:r>
          <w:rPr>
            <w:rStyle w:val="Hyperlink"/>
          </w:rPr>
          <w:t xml:space="preserve">supplemental control-layer extension</w:t>
        </w:r>
      </w:hyperlink>
      <w:r>
        <w:t xml:space="preserve">; </w:t>
      </w:r>
      <w:hyperlink r:id="rId12">
        <w:r>
          <w:rPr>
            <w:rStyle w:val="Hyperlink"/>
          </w:rPr>
          <w:t xml:space="preserve">Treasury GENIUS Act state similarity</w:t>
        </w:r>
      </w:hyperlink>
      <w:r>
        <w:t xml:space="preserve">; FDIC payment-stablecoin reserve standards </w:t>
      </w:r>
      <w:hyperlink r:id="rId13">
        <w:r>
          <w:rPr>
            <w:rStyle w:val="Hyperlink"/>
          </w:rPr>
          <w:t xml:space="preserve">RIN 3064-AG19</w:t>
        </w:r>
      </w:hyperlink>
      <w:r>
        <w:t xml:space="preserve"> and stablecoin-subsidiary issuance approvals </w:t>
      </w:r>
      <w:hyperlink r:id="rId14">
        <w:r>
          <w:rPr>
            <w:rStyle w:val="Hyperlink"/>
          </w:rPr>
          <w:t xml:space="preserve">RIN 3064-AG20</w:t>
        </w:r>
      </w:hyperlink>
      <w:r>
        <w:t xml:space="preserve">; FinCEN AML/CFT </w:t>
      </w:r>
      <w:hyperlink r:id="rId15">
        <w:r>
          <w:rPr>
            <w:rStyle w:val="Hyperlink"/>
          </w:rPr>
          <w:t xml:space="preserve">FINCEN-2026-0034</w:t>
        </w:r>
      </w:hyperlink>
      <w:r>
        <w:t xml:space="preserve">; FinCEN-OFAC PPSI sanctions </w:t>
      </w:r>
      <w:hyperlink r:id="rId16">
        <w:r>
          <w:rPr>
            <w:rStyle w:val="Hyperlink"/>
          </w:rPr>
          <w:t xml:space="preserve">FINCEN-2026-0100</w:t>
        </w:r>
      </w:hyperlink>
      <w:r>
        <w:t xml:space="preserve">; joint banking AML/CFT </w:t>
      </w:r>
      <w:hyperlink r:id="rId17">
        <w:r>
          <w:rPr>
            <w:rStyle w:val="Hyperlink"/>
          </w:rPr>
          <w:t xml:space="preserve">91 FR 18304</w:t>
        </w:r>
      </w:hyperlink>
      <w:r>
        <w:t xml:space="preserve">); </w:t>
      </w:r>
      <w:hyperlink r:id="rId6">
        <w:r>
          <w:rPr>
            <w:rStyle w:val="Hyperlink"/>
          </w:rPr>
          <w:t xml:space="preserve">Routing the Dollar</w:t>
        </w:r>
      </w:hyperlink>
      <w:r>
        <w:t xml:space="preserve"> prepared for the Federal Reserve Fifth Conference on the Dollar's International Roles (Jun 2026); </w:t>
      </w:r>
      <w:hyperlink r:id="rId18">
        <w:r>
          <w:rPr>
            <w:rStyle w:val="Hyperlink"/>
          </w:rPr>
          <w:t xml:space="preserve">Governance Concentration</w:t>
        </w:r>
      </w:hyperlink>
      <w:r>
        <w:t xml:space="preserve"> accepted for publication at Frontiers in Blockchain.</w:t>
      </w:r>
    </w:p>
    <w:p>
      <w:pPr>
        <w:spacing w:after="36"/>
        <w:ind w:left="320" w:hanging="160"/>
      </w:pPr>
      <w:r>
        <w:t>• Active dialogues across U.S. national-security research, major securities exchanges, central securities depositories, global payments messaging infrastructure, tier-1 bank tokenization platforms, and SEC-registered transfer agents on stablecoin, deposit-token, tokenized-deposit, tokenized money-market-fund, tokenized-commodity,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Product Strategy &amp; Lifecycle</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Product Systems &amp; Tooling</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AI-assisted diligence workflows reducing subscription-document review from ~4 hours to ~1 hour per deal.</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tabs>
          <w:tab w:val="right" w:pos="10320"/>
        </w:tabs>
        <w:spacing w:after="20" w:before="80"/>
        <w:ind w:left="0" w:firstLine="0"/>
      </w:pPr>
      <w:r>
        <w:rPr>
          <w:b/>
          <w:i/>
        </w:rPr>
        <w:t>Risk &amp; Exception Management</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tabs>
          <w:tab w:val="right" w:pos="10320"/>
        </w:tabs>
        <w:spacing w:after="20" w:before="80"/>
        <w:ind w:left="0" w:firstLine="0"/>
      </w:pPr>
      <w:r>
        <w:rPr>
          <w:b/>
          <w:i/>
        </w:rPr>
        <w:t>Market Discovery &amp; Sourcing</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Shipped 250 portfolio investments (~25% deployment rate) across ~10 institutional funds (~$500M AUM) from a 1,000+ deal pre-seed-to-Series-C funnel, with build/partner/hold recommendations to committee.</w:t>
      </w:r>
    </w:p>
    <w:p>
      <w:pPr>
        <w:keepNext/>
        <w:tabs>
          <w:tab w:val="right" w:pos="10320"/>
        </w:tabs>
        <w:spacing w:after="40" w:before="160"/>
      </w:pPr>
      <w:r>
        <w:rPr>
          <w:b/>
        </w:rPr>
        <w:t>Blockchain Research Analyst (Independent)</w:t>
      </w:r>
      <w:r>
        <w:t xml:space="preserve"> · Self-Employed</w:t>
      </w:r>
      <w:r>
        <w:tab/>
      </w:r>
      <w:r>
        <w:rPr>
          <w:i/>
        </w:rPr>
        <w:t>Jul 2016 to Present</w:t>
      </w:r>
    </w:p>
    <w:p>
      <w:pPr>
        <w:keepLines/>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keepLines/>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keepLines/>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0">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2">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PM scoping of product shape and counterparty topology.</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25">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 with custody and reporting controls relevant to tokenized payment platforms.</w:t>
      </w:r>
    </w:p>
    <w:p>
      <w:pPr>
        <w:spacing w:after="28"/>
        <w:ind w:left="320" w:hanging="160"/>
      </w:pPr>
      <w:r>
        <w:t xml:space="preserve">• </w:t>
      </w:r>
      <w:hyperlink r:id="rId18">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19">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7">
        <w:r>
          <w:rPr>
            <w:rStyle w:val="Hyperlink"/>
          </w:rPr>
          <w:t xml:space="preserve">CLII</w:t>
        </w:r>
      </w:hyperlink>
      <w:r>
        <w:t>), Minimum Viable Equivalence Pack (</w:t>
      </w:r>
      <w:hyperlink r:id="rId28">
        <w:r>
          <w:rPr>
            <w:rStyle w:val="Hyperlink"/>
          </w:rPr>
          <w:t xml:space="preserve">MVEP</w:t>
        </w:r>
      </w:hyperlink>
      <w:r>
        <w:t>), MVEP-gated Conditional Pass-Through (</w:t>
      </w:r>
      <w:hyperlink r:id="rId29">
        <w:r>
          <w:rPr>
            <w:rStyle w:val="Hyperlink"/>
          </w:rPr>
          <w:t xml:space="preserve">MGCPT</w:t>
        </w:r>
      </w:hyperlink>
      <w:r>
        <w:t xml:space="preserve">; </w:t>
      </w:r>
      <w:hyperlink r:id="rId13">
        <w:r>
          <w:rPr>
            <w:rStyle w:val="Hyperlink"/>
          </w:rPr>
          <w:t xml:space="preserve">AG19 Rec 7</w:t>
        </w:r>
      </w:hyperlink>
      <w:r>
        <w:t>), Three-Category Reserve Disclosure (</w:t>
      </w:r>
      <w:hyperlink r:id="rId30">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50"/>
      <w:szCs w:val="50"/>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3"/>
      <w:szCs w:val="23"/>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routing-the-doll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letters/occ-mvep-v4/" TargetMode="External"/><Relationship Id="rId11" Type="http://schemas.openxmlformats.org/officeDocument/2006/relationships/hyperlink" Target="https://tokenization.systems/letters/occ-supplemental/" TargetMode="External"/><Relationship Id="rId12" Type="http://schemas.openxmlformats.org/officeDocument/2006/relationships/hyperlink" Target="https://tokenization.systems/letters/treasury-genius-state-similarity/" TargetMode="External"/><Relationship Id="rId13" Type="http://schemas.openxmlformats.org/officeDocument/2006/relationships/hyperlink" Target="https://tokenization.systems/letters/fdic-ag19-ppsi-activities/" TargetMode="External"/><Relationship Id="rId14" Type="http://schemas.openxmlformats.org/officeDocument/2006/relationships/hyperlink" Target="https://tokenization.systems/letters/fdic-ag20-ppsi-application/" TargetMode="External"/><Relationship Id="rId15" Type="http://schemas.openxmlformats.org/officeDocument/2006/relationships/hyperlink" Target="https://tokenization.systems/letters/fincen-aml-cft/" TargetMode="External"/><Relationship Id="rId16" Type="http://schemas.openxmlformats.org/officeDocument/2006/relationships/hyperlink" Target="https://tokenization.systems/letters/fincen-ofac-ppsi-sanctions/" TargetMode="External"/><Relationship Id="rId17" Type="http://schemas.openxmlformats.org/officeDocument/2006/relationships/hyperlink" Target="https://tokenization.systems/letters/banking-agencies-joint-aml/" TargetMode="External"/><Relationship Id="rId18" Type="http://schemas.openxmlformats.org/officeDocument/2006/relationships/hyperlink" Target="https://tokenization.systems/papers/governance-concentration/" TargetMode="External"/><Relationship Id="rId19" Type="http://schemas.openxmlformats.org/officeDocument/2006/relationships/hyperlink" Target="https://medium.com/borderless-capital/introduction-to-tokenomics-c7af75c09bfe" TargetMode="External"/><Relationship Id="rId20" Type="http://schemas.openxmlformats.org/officeDocument/2006/relationships/hyperlink" Target="https://tokenization.systems/papers/agentic-payments-control-layer/"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three-strategies/"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operational-risk/" TargetMode="External"/><Relationship Id="rId26" Type="http://schemas.openxmlformats.org/officeDocument/2006/relationships/hyperlink" Target="https://tokenization.systems/papers/who-burns-the-tokens/" TargetMode="External"/><Relationship Id="rId27" Type="http://schemas.openxmlformats.org/officeDocument/2006/relationships/hyperlink" Target="https://tokenization.systems/frameworks/#clii" TargetMode="External"/><Relationship Id="rId28" Type="http://schemas.openxmlformats.org/officeDocument/2006/relationships/hyperlink" Target="https://tokenization.systems/frameworks/#mvep" TargetMode="External"/><Relationship Id="rId29" Type="http://schemas.openxmlformats.org/officeDocument/2006/relationships/hyperlink" Target="https://tokenization.systems/frameworks/#mgcpt" TargetMode="External"/><Relationship Id="rId30"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