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r:id="rIdtk3pkbjp0bnea-khivcha">
        <w:r>
          <w:rPr>
            <w:rStyle w:val="Hyperlink"/>
            <w:sz w:val="17"/>
            <w:szCs w:val="17"/>
          </w:rPr>
          <w:t xml:space="preserve">Tokenization.Systems</w:t>
        </w:r>
      </w:hyperlink>
      <w:r>
        <w:rPr>
          <w:sz w:val="17"/>
          <w:szCs w:val="17"/>
        </w:rPr>
        <w:t xml:space="preserve">  |  </w:t>
      </w:r>
      <w:hyperlink r:id="rIdnnxna0daueqz2sdxissom">
        <w:r>
          <w:rPr>
            <w:rStyle w:val="Hyperlink"/>
            <w:sz w:val="17"/>
            <w:szCs w:val="17"/>
          </w:rPr>
          <w:t xml:space="preserve">LinkedIn</w:t>
        </w:r>
      </w:hyperlink>
      <w:r>
        <w:rPr>
          <w:sz w:val="17"/>
          <w:szCs w:val="17"/>
        </w:rPr>
        <w:t xml:space="preserve">  |  </w:t>
      </w:r>
      <w:hyperlink r:id="rIdrdmpe-g4zsyvawvrrkisd">
        <w:r>
          <w:rPr>
            <w:rStyle w:val="Hyperlink"/>
            <w:sz w:val="17"/>
            <w:szCs w:val="17"/>
          </w:rPr>
          <w:t xml:space="preserve">SSRN</w:t>
        </w:r>
      </w:hyperlink>
    </w:p>
    <w:p>
      <w:pPr>
        <w:spacing w:after="15"/>
        <w:jc w:val="center"/>
      </w:pPr>
      <w:r>
        <w:rPr>
          <w:rFonts w:ascii="Arial" w:cs="Arial" w:eastAsia="Arial" w:hAnsi="Arial"/>
          <w:b/>
          <w:bCs/>
          <w:color w:val="1A1A1A"/>
          <w:sz w:val="21"/>
          <w:szCs w:val="21"/>
        </w:rPr>
        <w:t>TOKENIZED-PRODUCT INVESTMENT MANAGEMENT · DUE DILIGENCE · PORTFOLIO STRATEGY</w:t>
      </w:r>
    </w:p>
    <w:p>
      <w:pPr>
        <w:spacing w:after="10"/>
        <w:jc w:val="center"/>
      </w:pPr>
      <w:r>
        <w:rPr>
          <w:b w:val="0"/>
          <w:i w:val="0"/>
          <w:sz w:val="17"/>
        </w:rPr>
        <w:t>· Digital assets since 2016 (10 years) · ~$500M AUM · 250 investments (~25% deployment rate) · ~75 DATs analyzed, 18 invested · LayerZero seed (~80x) · 9 SSRN papers · 19 federal comment letters</w:t>
        <w:br/>
        <w:t>· 37 USPTO patent applications across 27 families (Canonical⁠-⁠State Architecture for multi⁠-⁠agent AI research)</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38"/>
      </w:pPr>
      <w:r>
        <w:rPr>
          <w:rFonts w:ascii="Arial" w:cs="Arial" w:eastAsia="Arial" w:hAnsi="Arial"/>
          <w:color w:val="1A1A1A"/>
          <w:sz w:val="17"/>
          <w:szCs w:val="17"/>
        </w:rPr>
        <w:t>Ten years in digital assets: independent protocol research from Jul 2016, institutional practice from Dec 2019. Tokenized-product investment researcher who underwrites tokenized money-market funds, deposit tokens, stablecoins, and yield wrappers from sourcing through committee. First hire at Borderless Capital, an RIA; now founder of Tokenization Systems.</w:t>
      </w:r>
    </w:p>
    <w:p>
      <w:pPr>
        <w:spacing w:after="38"/>
      </w:pPr>
      <w:r>
        <w:rPr>
          <w:rFonts w:ascii="Arial" w:cs="Arial" w:eastAsia="Arial" w:hAnsi="Arial"/>
          <w:color w:val="1A1A1A"/>
          <w:sz w:val="17"/>
          <w:szCs w:val="17"/>
        </w:rPr>
        <w:t>Focus: tokenized-product diligence, portfolio construction, build-versus-hold allocation, NAV and mNAV analysis, deal sourcing · scenario modeling, Monte Carlo, difference-in-differences · pre-seed to Series C, Digital Asset Treasuries.</w:t>
      </w:r>
    </w:p>
    <w:p>
      <w:pPr>
        <w:pBdr>
          <w:bottom w:val="single" w:color="AAAAAA" w:sz="3" w:space="1"/>
        </w:pBdr>
        <w:spacing w:before="280" w:after="120"/>
      </w:pPr>
      <w:r>
        <w:rPr>
          <w:rFonts w:ascii="Arial" w:cs="Arial" w:eastAsia="Arial" w:hAnsi="Arial"/>
          <w:b/>
          <w:bCs/>
          <w:color w:val="1A1A1A"/>
          <w:sz w:val="18"/>
          <w:szCs w:val="18"/>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 nine-paper SSRN-live research program covering the </w:t>
      </w:r>
      <w:hyperlink r:id="rId6">
        <w:r>
          <w:rPr>
            <w:rStyle w:val="Hyperlink"/>
          </w:rPr>
          <w:t xml:space="preserve">Control Layer Intensity Index</w:t>
        </w:r>
      </w:hyperlink>
      <w:r>
        <w:t xml:space="preserve"> (CLII) for gateway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xml:space="preserve">), </w:t>
      </w:r>
      <w:hyperlink r:id="rId10">
        <w:r>
          <w:rPr>
            <w:rStyle w:val="Hyperlink"/>
          </w:rPr>
          <w:t xml:space="preserve">governance concentration</w:t>
        </w:r>
      </w:hyperlink>
      <w:r>
        <w:t xml:space="preserve">, and </w:t>
      </w:r>
      <w:hyperlink r:id="rId1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xml:space="preserve">• Contributed 19 comment letters across a federal regulatory program (OCC bank stablecoin engagement </w:t>
      </w:r>
      <w:hyperlink r:id="rId12">
        <w:r>
          <w:rPr>
            <w:rStyle w:val="Hyperlink"/>
          </w:rPr>
          <w:t xml:space="preserve">RIN 1557-AF41</w:t>
        </w:r>
      </w:hyperlink>
      <w:r>
        <w:t xml:space="preserve"> plus </w:t>
      </w:r>
      <w:hyperlink r:id="rId13">
        <w:r>
          <w:rPr>
            <w:rStyle w:val="Hyperlink"/>
          </w:rPr>
          <w:t xml:space="preserve">supplemental control-layer extension</w:t>
        </w:r>
      </w:hyperlink>
      <w:r>
        <w:t xml:space="preserve">; </w:t>
      </w:r>
      <w:hyperlink r:id="rId14">
        <w:r>
          <w:rPr>
            <w:rStyle w:val="Hyperlink"/>
          </w:rPr>
          <w:t xml:space="preserve">Treasury GENIUS Act state similarity</w:t>
        </w:r>
      </w:hyperlink>
      <w:r>
        <w:t xml:space="preserve">; FDIC payment-stablecoin reserve standards </w:t>
      </w:r>
      <w:hyperlink r:id="rId15">
        <w:r>
          <w:rPr>
            <w:rStyle w:val="Hyperlink"/>
          </w:rPr>
          <w:t xml:space="preserve">RIN 3064-AG19</w:t>
        </w:r>
      </w:hyperlink>
      <w:r>
        <w:t xml:space="preserve"> and stablecoin-subsidiary issuance approvals </w:t>
      </w:r>
      <w:hyperlink r:id="rId16">
        <w:r>
          <w:rPr>
            <w:rStyle w:val="Hyperlink"/>
          </w:rPr>
          <w:t xml:space="preserve">RIN 3064-AG20</w:t>
        </w:r>
      </w:hyperlink>
      <w:r>
        <w:t xml:space="preserve">; FinCEN AML/CFT </w:t>
      </w:r>
      <w:hyperlink r:id="rId17">
        <w:r>
          <w:rPr>
            <w:rStyle w:val="Hyperlink"/>
          </w:rPr>
          <w:t xml:space="preserve">FINCEN-2026-0034</w:t>
        </w:r>
      </w:hyperlink>
      <w:r>
        <w:t xml:space="preserve">; FinCEN-OFAC PPSI sanctions </w:t>
      </w:r>
      <w:hyperlink r:id="rId18">
        <w:r>
          <w:rPr>
            <w:rStyle w:val="Hyperlink"/>
          </w:rPr>
          <w:t xml:space="preserve">FINCEN-2026-0100</w:t>
        </w:r>
      </w:hyperlink>
      <w:r>
        <w:t xml:space="preserve">; joint banking AML/CFT </w:t>
      </w:r>
      <w:hyperlink r:id="rId19">
        <w:r>
          <w:rPr>
            <w:rStyle w:val="Hyperlink"/>
          </w:rPr>
          <w:t xml:space="preserve">91 FR 18304</w:t>
        </w:r>
      </w:hyperlink>
      <w:r>
        <w:t xml:space="preserve">); </w:t>
      </w:r>
      <w:hyperlink r:id="rId20">
        <w:r>
          <w:rPr>
            <w:rStyle w:val="Hyperlink"/>
          </w:rPr>
          <w:t xml:space="preserve">Routing the Dollar</w:t>
        </w:r>
      </w:hyperlink>
      <w:r>
        <w:t xml:space="preserve"> prepared for the Federal Reserve Fifth Conference on the Dollar's International Roles (Jun 2026); </w:t>
      </w:r>
      <w:hyperlink r:id="rId10">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Shipped 250 portfolio investments (~25% deployment rate) across ~10 institutional funds (~$500M AUM) from a 1,000+ deal pre-seed-to-Series-C funnel, with build/partner/hold recommendations to committee.</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pricing and subsidy-to-revenue trajectories, and governance concentration under wide scenario ranges; supply-equilibrium and slashing dynamics supporting Layer 1 business-model and mechanism-design advisory.</w:t>
      </w:r>
    </w:p>
    <w:p>
      <w:pPr>
        <w:spacing w:after="36"/>
        <w:ind w:left="320" w:hanging="160"/>
      </w:pPr>
      <w:r>
        <w:t xml:space="preserve">• Worked on the </w:t>
      </w:r>
      <w:r>
        <w:rPr>
          <w:b/>
        </w:rPr>
        <w:t>Cross-Chain Ecosystem Fund</w:t>
      </w:r>
      <w:r>
        <w:t>, which partnered with, invested in, and took investment from 15 of the top 25 Layer 1 chains, ecosystems that were simultaneously LPs, co-investors, and portfolio; supplied them access to teams building cross-chain composability infrastructure no single ecosystem could source alone.</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production-validated by Circle's BUIDL March 27, 2025 incident (23 hours of limited availability). Editor-invited submission to the Journal of Financial Regulation.</w:t>
      </w:r>
    </w:p>
    <w:p>
      <w:pPr>
        <w:spacing w:after="28"/>
        <w:ind w:left="320" w:hanging="160"/>
      </w:pPr>
      <w:r>
        <w:t xml:space="preserve">• </w:t>
      </w:r>
      <w:hyperlink r:id="rId21">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2">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3">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0">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4">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5">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1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10">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Tokenized Equity Vehicles.</w:t>
        </w:r>
      </w:hyperlink>
      <w:r>
        <w:t xml:space="preserve"> Comparative analysis of Robinhood Stock Tokens and Backed xStocks across legal form, investor claim, liquidity architecture, and corporate-actions reconciliation; the binding constraints that determine whether institutions can hold, trade, and report tokenized equity.</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78-skill library and 33-file canonical-state architecture;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7">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5">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control-layer-w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www.frontiersin.org/journals/blockchain/articles/10.3389/fbloc.2026.1853465/full" TargetMode="External"/><Relationship Id="rId11" Type="http://schemas.openxmlformats.org/officeDocument/2006/relationships/hyperlink" Target="https://tokenization.systems/papers/operational-risk/" TargetMode="External"/><Relationship Id="rId12" Type="http://schemas.openxmlformats.org/officeDocument/2006/relationships/hyperlink" Target="https://tokenization.systems/letters/occ-mvep-v4/" TargetMode="External"/><Relationship Id="rId13" Type="http://schemas.openxmlformats.org/officeDocument/2006/relationships/hyperlink" Target="https://tokenization.systems/letters/occ-supplemental/" TargetMode="External"/><Relationship Id="rId14" Type="http://schemas.openxmlformats.org/officeDocument/2006/relationships/hyperlink" Target="https://tokenization.systems/letters/treasury-genius-state-similarity/" TargetMode="External"/><Relationship Id="rId15" Type="http://schemas.openxmlformats.org/officeDocument/2006/relationships/hyperlink" Target="https://tokenization.systems/letters/fdic-ag19-ppsi-activities/" TargetMode="External"/><Relationship Id="rId16" Type="http://schemas.openxmlformats.org/officeDocument/2006/relationships/hyperlink" Target="https://tokenization.systems/letters/fdic-ag20-ppsi-application/" TargetMode="External"/><Relationship Id="rId17" Type="http://schemas.openxmlformats.org/officeDocument/2006/relationships/hyperlink" Target="https://tokenization.systems/letters/fincen-aml-cft/" TargetMode="External"/><Relationship Id="rId18" Type="http://schemas.openxmlformats.org/officeDocument/2006/relationships/hyperlink" Target="https://tokenization.systems/letters/fincen-ofac-ppsi-sanctions/" TargetMode="External"/><Relationship Id="rId19" Type="http://schemas.openxmlformats.org/officeDocument/2006/relationships/hyperlink" Target="https://tokenization.systems/letters/banking-agencies-joint-aml/" TargetMode="External"/><Relationship Id="rId20" Type="http://schemas.openxmlformats.org/officeDocument/2006/relationships/hyperlink" Target="https://tokenization.systems/papers/routing-the-dollar/" TargetMode="External"/><Relationship Id="rId21" Type="http://schemas.openxmlformats.org/officeDocument/2006/relationships/hyperlink" Target="https://tokenization.systems/papers/three-strategies/" TargetMode="External"/><Relationship Id="rId22" Type="http://schemas.openxmlformats.org/officeDocument/2006/relationships/hyperlink" Target="https://tokenization.systems/papers/seven-dollars/" TargetMode="External"/><Relationship Id="rId23" Type="http://schemas.openxmlformats.org/officeDocument/2006/relationships/hyperlink" Target="https://tokenization.systems/papers/dollar-v3/"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letters/fsb-ai-sound-practices/" TargetMode="External"/><Relationship Id="rId26" Type="http://schemas.openxmlformats.org/officeDocument/2006/relationships/hyperlink" Target="https://tokenization.systems/papers/tokenized-equity/" TargetMode="External"/><Relationship Id="rId27" Type="http://schemas.openxmlformats.org/officeDocument/2006/relationships/hyperlink" Target="https://medium.com/borderless-capital/introduction-to-tokenomics-c7af75c09bfe"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