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19 federal comment letters · FSB AI consultation response · 9 SSRN papers · Dialogues across national security think tanks, securities exchanges, Central Securities Depositories, payments messaging, banks, transfer agents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19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AI-domain extensions of the Minimum Viable Equivalence Pack and Control Layer Intensity Index (MVEP-AI / CLII-AI).</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78-skill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