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Zach Zukowski</w:t>
      </w:r>
    </w:p>
    <w:p>
      <w:pPr>
        <w:spacing w:after="10"/>
        <w:jc w:val="center"/>
      </w:pPr>
      <w:r>
        <w:rPr>
          <w:rFonts w:ascii="Arial" w:cs="Arial" w:eastAsia="Arial" w:hAnsi="Arial"/>
          <w:color w:val="444444"/>
          <w:sz w:val="19"/>
          <w:szCs w:val="19"/>
        </w:rPr>
        <w:t xml:space="preserve">Orlando, FL | Zach@Tokenization.Systems | 321-236-2261</w:t>
      </w:r>
    </w:p>
    <w:p>
      <w:pPr>
        <w:spacing w:after="55"/>
        <w:jc w:val="center"/>
      </w:pPr>
      <w:hyperlink w:history="1" r:id="rIdxmuqvvnt3zpkikryl7r5v">
        <w:r>
          <w:rPr>
            <w:rFonts w:ascii="Arial" w:cs="Arial" w:eastAsia="Arial" w:hAnsi="Arial"/>
            <w:color w:val="2255AA"/>
            <w:sz w:val="19"/>
            <w:szCs w:val="19"/>
          </w:rPr>
          <w:t xml:space="preserve">Tokenization.Systems</w:t>
        </w:r>
      </w:hyperlink>
      <w:r>
        <w:rPr>
          <w:rFonts w:ascii="Arial" w:cs="Arial" w:eastAsia="Arial" w:hAnsi="Arial"/>
          <w:color w:val="444444"/>
          <w:sz w:val="19"/>
          <w:szCs w:val="19"/>
        </w:rPr>
        <w:t xml:space="preserve">  |  </w:t>
      </w:r>
      <w:hyperlink w:history="1" r:id="rIdtcoxnwxyxxsa2zjqsh6lt">
        <w:r>
          <w:rPr>
            <w:rFonts w:ascii="Arial" w:cs="Arial" w:eastAsia="Arial" w:hAnsi="Arial"/>
            <w:color w:val="2255AA"/>
            <w:sz w:val="19"/>
            <w:szCs w:val="19"/>
          </w:rPr>
          <w:t xml:space="preserve">LinkedIn</w:t>
        </w:r>
      </w:hyperlink>
      <w:r>
        <w:rPr>
          <w:rFonts w:ascii="Arial" w:cs="Arial" w:eastAsia="Arial" w:hAnsi="Arial"/>
          <w:color w:val="444444"/>
          <w:sz w:val="19"/>
          <w:szCs w:val="19"/>
        </w:rPr>
        <w:t xml:space="preserve">  |  </w:t>
      </w:r>
      <w:hyperlink w:history="1" r:id="rIdi3vesbaomiccynxj2pdsz">
        <w:r>
          <w:rPr>
            <w:rFonts w:ascii="Arial" w:cs="Arial" w:eastAsia="Arial" w:hAnsi="Arial"/>
            <w:color w:val="2255AA"/>
            <w:sz w:val="19"/>
            <w:szCs w:val="19"/>
          </w:rPr>
          <w:t xml:space="preserve">SSRN</w:t>
        </w:r>
      </w:hyperlink>
    </w:p>
    <w:p>
      <w:pPr>
        <w:spacing w:after="15"/>
        <w:jc w:val="center"/>
      </w:pPr>
      <w:r>
        <w:rPr>
          <w:rFonts w:ascii="Arial" w:cs="Arial" w:eastAsia="Arial" w:hAnsi="Arial"/>
          <w:b/>
          <w:bCs/>
          <w:color w:val="1A1A1A"/>
          <w:sz w:val="23"/>
          <w:szCs w:val="23"/>
        </w:rPr>
        <w:t xml:space="preserve">DIGITAL ASSETS, TOKENIZATION &amp; PRODUCT DILIGENCE</w:t>
      </w:r>
    </w:p>
    <w:p>
      <w:pPr>
        <w:pBdr>
          <w:bottom w:val="single" w:color="AAAAAA" w:sz="3" w:space="1"/>
        </w:pBdr>
        <w:spacing w:before="125" w:after="42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SUMMARY</w:t>
      </w:r>
    </w:p>
    <w:p>
      <w:pPr>
        <w:spacing w:after="38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Digital asset and tokenization research professional focused on institutional product diligence, market structure, and portfolio monitoring. Founding research hire at a Web3-focused registered investment adviser, where I built the research operating system from scratch, led a four-analyst team, and supported underwriting across ~250 investments and ~$500M in assets under management. Deep expertise in tokenized-product equivalence, stablecoins, liquidity, custody, settlement dependencies, and disclosure-driven monitoring. Seven-paper research program (four on SSRN; work submitted to the Fifth Conference on the International Roles of the U.S. Dollar, hosted by the Federal Reserve Board and Federal Reserve Bank of New York, June 2026).</w:t>
      </w:r>
    </w:p>
    <w:p>
      <w:pPr>
        <w:pBdr>
          <w:bottom w:val="single" w:color="AAAAAA" w:sz="3" w:space="1"/>
        </w:pBdr>
        <w:spacing w:before="125" w:after="42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EXPERIENCE</w:t>
      </w:r>
    </w:p>
    <w:p>
      <w:pPr>
        <w:tabs>
          <w:tab w:val="right" w:pos="10320"/>
        </w:tabs>
        <w:spacing w:after="28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Senior Investment Analyst, Digital Assets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| Borderless Capital (RIA; first hire)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Dec 2019 – Present</w:t>
      </w:r>
    </w:p>
    <w:p>
      <w:pPr>
        <w:spacing w:after="36"/>
        <w:ind w:left="320" w:hanging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Supported sourcing and underwriting across 1,000+ opportunities and ~250 investments (~$500M AUM, ~10 institutional funds), with coverage spanning tokenized products, stablecoins, market structure, and operator risk. Led investor reporting, portfolio strategy, and committee briefing materials with trigger-based assumption tracking.</w:t>
      </w:r>
    </w:p>
    <w:p>
      <w:pPr>
        <w:spacing w:after="36"/>
        <w:ind w:left="320" w:hanging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Analyzed ~75 tokenization offerings in 2025 and invested in 18. Built automated daily multiple-on-NAV dashboard sourcing SEC filings and press releases directly. Modeled daily portfolio liquidity across holdings and token unlock schedules for committee reporting.</w:t>
      </w:r>
    </w:p>
    <w:p>
      <w:pPr>
        <w:spacing w:after="36"/>
        <w:ind w:left="320" w:hanging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Led diligence on stablecoins and tokenized products: reserve custody, redemption mechanics, settlement finality, concentration and portability risk, and the evidence required to establish legal, operational, and economic equivalence.</w:t>
      </w:r>
    </w:p>
    <w:p>
      <w:pPr>
        <w:spacing w:after="36"/>
        <w:ind w:left="320" w:hanging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Built the research operating system and monitoring workflows that investment committees rely on for diligence, sizing, and ongoing oversight: coverage roadmap, compliance workflows, decision logs with documented assumption registers, and trigger-based posture updates. Led a four-analyst team.</w:t>
      </w:r>
    </w:p>
    <w:p>
      <w:pPr>
        <w:spacing w:after="36"/>
        <w:ind w:left="320" w:hanging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Forecasted $1B+ on-chain protocol collapse ~12 months early by mapping the causal chain and defining leading indicator thresholds; guided risk posture to avoid exposure. Prevented hostile governance capture on a top-50 Layer 1 blockchain via voting-path simulation. Identified and corrected circulating-supply misreporting that had propagated to industry-standard data aggregators.</w:t>
      </w:r>
    </w:p>
    <w:p>
      <w:pPr>
        <w:spacing w:after="36"/>
        <w:ind w:left="320" w:hanging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Built quantitative token-economic models forecasting emissions, fee capture, the transition from subsidy-funded to revenue-funded economics, and governance concentration under wide scenario ranges. Advised on 100+ tokenomics engagements across stablecoin issuers, tokenized real-world assets, and lending platforms. Uniswap Foundation governance committee (2024); led 9 accelerator programs.</w:t>
      </w:r>
    </w:p>
    <w:p>
      <w:pPr>
        <w:spacing w:after="36"/>
        <w:ind w:left="320" w:hanging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Developed the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CLII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(Control Layer Intensity Index) and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MVEP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(Minimum Viable Equivalence Pack) to evaluate tokenized products on documented evidence: rights parity, custody, finality, and stress behavior (both on SSRN). AI-assisted diligence workflow processes ~1,000+ pages per deal, reducing review time from ~4 hours to ~1 hour.</w:t>
      </w:r>
    </w:p>
    <w:p>
      <w:pPr>
        <w:tabs>
          <w:tab w:val="right" w:pos="10320"/>
        </w:tabs>
        <w:spacing w:after="28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Analyst Intern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| Greenway Solutions (USAA)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May – Sep 2016</w:t>
      </w:r>
    </w:p>
    <w:p>
      <w:pPr>
        <w:spacing w:after="28"/>
        <w:ind w:left="320" w:hanging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Benchmarked USAA fraud controls across online, mobile, and call-center channels versus 9 peer U.S. banks; delivered recommendations on funds-availability, wire-transfer, and identity-verification controls.</w:t>
      </w:r>
    </w:p>
    <w:p>
      <w:pPr>
        <w:pBdr>
          <w:bottom w:val="single" w:color="AAAAAA" w:sz="3" w:space="1"/>
        </w:pBdr>
        <w:spacing w:before="125" w:after="42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SELECTED RESEARCH</w:t>
      </w:r>
    </w:p>
    <w:p>
      <w:pPr>
        <w:spacing w:after="28"/>
        <w:ind w:left="320" w:hanging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Minimum Viable Equivalence Packs.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SSRN.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Three equivalence claims (legal, operational, economic) tested through nine diligence categories for institutional tokenized-product approval.</w:t>
      </w:r>
    </w:p>
    <w:p>
      <w:pPr>
        <w:spacing w:after="28"/>
        <w:ind w:left="320" w:hanging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Tokenized Equity.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Published.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Diligence framework for tokenized equity: rights parity, custody segregation, settlement dependencies, and market-structure constraints.</w:t>
      </w:r>
    </w:p>
    <w:p>
      <w:pPr>
        <w:spacing w:after="28"/>
        <w:ind w:left="320" w:hanging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Routing the Dollar.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Submitted, Fed Reserve Board / FRBNY, June 2026. SSRN.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Gateway concentration, settlement flows, and dollar transmission for institutional tokenized-cash products.</w:t>
      </w:r>
    </w:p>
    <w:p>
      <w:pPr>
        <w:spacing w:after="28"/>
        <w:ind w:left="320" w:hanging="16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•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Dollar v3 / The Control Layer War.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 Published.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How different token types inherit different regulatory perimeters and value-capture mechanics.</w:t>
      </w:r>
    </w:p>
    <w:p>
      <w:pPr>
        <w:pBdr>
          <w:bottom w:val="single" w:color="AAAAAA" w:sz="3" w:space="1"/>
        </w:pBdr>
        <w:spacing w:before="125" w:after="42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TECHNICAL</w:t>
      </w:r>
    </w:p>
    <w:p>
      <w:pPr>
        <w:spacing w:after="22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Methods: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Scenario analysis, time-series econometrics (cointegration, vector error correction), Monte Carlo simulation, concentration and liquidity analysis</w:t>
      </w:r>
    </w:p>
    <w:p>
      <w:pPr>
        <w:spacing w:after="22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Data: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Dune Analytics, Nansen Pro, Artemis, DefiLlama, FRED, CoinGecko, Helius, SEC filing and press-release monitoring</w:t>
      </w:r>
    </w:p>
    <w:p>
      <w:pPr>
        <w:spacing w:after="22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Languages: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Python (pandas, statsmodels, scipy, matplotlib), SQL (DuneSQL, Trino), JavaScript/TypeScript, Excel</w:t>
      </w:r>
    </w:p>
    <w:p>
      <w:pPr>
        <w:spacing w:after="22"/>
      </w:pPr>
      <w:r>
        <w:rPr>
          <w:rFonts w:ascii="Arial" w:cs="Arial" w:eastAsia="Arial" w:hAnsi="Arial"/>
          <w:b/>
          <w:bCs/>
          <w:color w:val="1A1A1A"/>
          <w:sz w:val="18"/>
          <w:szCs w:val="18"/>
        </w:rPr>
        <w:t xml:space="preserve">Infrastructure: </w:t>
      </w:r>
      <w:r>
        <w:rPr>
          <w:rFonts w:ascii="Arial" w:cs="Arial" w:eastAsia="Arial" w:hAnsi="Arial"/>
          <w:color w:val="1A1A1A"/>
          <w:sz w:val="18"/>
          <w:szCs w:val="18"/>
        </w:rPr>
        <w:t xml:space="preserve">10 custom Python MCP servers for real-time data feeds, Claude Code, Cursor, n8n, Apify, Git/GitHub</w:t>
      </w:r>
    </w:p>
    <w:p>
      <w:pPr>
        <w:pBdr>
          <w:bottom w:val="single" w:color="AAAAAA" w:sz="3" w:space="1"/>
        </w:pBdr>
        <w:spacing w:before="130" w:after="45"/>
      </w:pPr>
      <w:r>
        <w:rPr>
          <w:rFonts w:ascii="Arial" w:cs="Arial" w:eastAsia="Arial" w:hAnsi="Arial"/>
          <w:b/>
          <w:bCs/>
          <w:color w:val="1A1A1A"/>
          <w:sz w:val="20"/>
          <w:szCs w:val="20"/>
        </w:rPr>
        <w:t xml:space="preserve">EDUCATION</w:t>
      </w:r>
    </w:p>
    <w:p>
      <w:pPr>
        <w:tabs>
          <w:tab w:val="right" w:pos="10320"/>
        </w:tabs>
        <w:spacing w:after="0"/>
      </w:pP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High Point University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| B.S.B.A., Business Administration (Magna Cum Laude)</w:t>
      </w:r>
      <w:r>
        <w:rPr>
          <w:rFonts w:ascii="Arial" w:cs="Arial" w:eastAsia="Arial" w:hAnsi="Arial"/>
          <w:sz w:val="19"/>
          <w:szCs w:val="19"/>
        </w:rPr>
        <w:t xml:space="preserve">	</w:t>
      </w:r>
      <w:r>
        <w:rPr>
          <w:rFonts w:ascii="Arial" w:cs="Arial" w:eastAsia="Arial" w:hAnsi="Arial"/>
          <w:i/>
          <w:iCs/>
          <w:color w:val="666666"/>
          <w:sz w:val="19"/>
          <w:szCs w:val="19"/>
        </w:rPr>
        <w:t xml:space="preserve">2018</w:t>
      </w:r>
    </w:p>
    <w:p>
      <w:pPr>
        <w:spacing w:after="0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Investment Club President | Lingnan University, Hong Kong (Exchange)</w:t>
      </w:r>
    </w:p>
    <w:sectPr>
      <w:pgSz w:w="12240" w:h="15840" w:orient="portrait"/>
      <w:pgMar w:top="560" w:right="960" w:bottom="440" w:left="9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xmuqvvnt3zpkikryl7r5v" Type="http://schemas.openxmlformats.org/officeDocument/2006/relationships/hyperlink" Target="https://tokenization.systems" TargetMode="External"/><Relationship Id="rIdtcoxnwxyxxsa2zjqsh6lt" Type="http://schemas.openxmlformats.org/officeDocument/2006/relationships/hyperlink" Target="https://linkedin.com/in/zachzukowski" TargetMode="External"/><Relationship Id="rIdi3vesbaomiccynxj2pdsz" Type="http://schemas.openxmlformats.org/officeDocument/2006/relationships/hyperlink" Target="https://papers.ssrn.com/sol3/cf_dev/AbsByAuth.cfm?per_id=7810362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2026-03-25T00:23:39.612Z</dcterms:created>
  <dcterms:modified xsi:type="dcterms:W3CDTF">2026-03-25T00:23:39.612Z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