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AI-AUGMENTED RESEARCH · GOVERNANCE INFRASTRUCTURE · TOKENIZATION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shortened from 4hr to 1hr per deal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Terminal; automated SEC filing and press release monitoring + data extraction</w:t>
      </w:r>
    </w:p>
    <w:p>
      <w:pPr>
        <w:spacing w:after="22" w:before="60"/>
      </w:pPr>
      <w:r>
        <w:rPr>
          <w:b/>
        </w:rPr>
        <w:t>Stack:</w:t>
      </w:r>
      <w:r>
        <w:t xml:space="preserve"> 14 custom Python MCP servers spanning FRED (macro data), DefiLlama / CoinGecko / Artemis (stablecoin and DeFi), Helius (Solana), Etherscan / Blockscout (EVM chains), rated.network / Beaconcha.in (validator data), Tally (DAO governance), Dune Analytics, Spacescope, Nansen (wallet flows), GitHub (specs and code); Python (pandas, statsmodels, scipy, matplotlib), SQL (DuneSQL, Trino), JavaScript / TypeScript; Claude Code, Cursor,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operational-risk/" TargetMode="External"/><Relationship Id="rId20" Type="http://schemas.openxmlformats.org/officeDocument/2006/relationships/hyperlink" Target="https://tokenization.systems/papers/who-burns-the-token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