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OPERATIONAL RISK · SCENARIO MODELING · TOKEN-ECONOMIC MODELING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74⁠-⁠vector risk taxonomy · 240⁠-⁠scenario Monte Carlo · 8 SSRN papers · ~$500M AUM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>Operational risk and scenario-modeling strategist. In Dec 2023 authored a 10-step scenario-modeling memo predicting Thorchain's eventual $200M insolvency in a protocol whose token had peaked at $3.3B market cap; predicted failure mode materialized in Jan 2025 (13 months later); the firm held no exposure. Founding research hire at Borderless Capital (RIA, Dec 2019 to Feb 2026); built quantitative token-economic models forecasting emissions, fee capture, subsidy-to-revenue trajectories, and governance concentration under wide scenario ranges. Now founder of Tokenization Systems (Feb 2026 to present); published Operational Risk in Token Economies (74-vector taxonomy mapped to 64 testable controls and 31 program objectives across a 624-scenario simulation battery; Lido V3 staking-vault production case study) and Adaptive Tokenomics (industrial-control-engineering PID controller; 240-scenario Monte Carlo; ~6x worst-case supply-volatility compression under competitor-shock attack). Contributed eight federal regulatory comment letters across stablecoin and banking dockets.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–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r>
        <w:rPr>
          <w:b/>
        </w:rPr>
        <w:t>Control Layer Intensity Index</w:t>
      </w:r>
      <w:r>
        <w:t xml:space="preserve"> (CLII) for gateway concentration, the </w:t>
      </w:r>
      <w:r>
        <w:rPr>
          <w:b/>
        </w:rPr>
        <w:t>Minimum Viable Equivalence Pack</w:t>
      </w:r>
      <w:r>
        <w:t xml:space="preserve"> (MVEP) for institutional tokenization diligence, programmable monetary-policy design (</w:t>
      </w:r>
      <w:hyperlink r:id="rId6">
        <w:r>
          <w:rPr>
            <w:rStyle w:val="Hyperlink"/>
            <w:b/>
          </w:rPr>
          <w:t xml:space="preserve">Adaptive Tokenomics</w:t>
        </w:r>
      </w:hyperlink>
      <w:r>
        <w:t>), governance concentration, and operational risk in token economies.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7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8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0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1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2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3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4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5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16">
        <w:r>
          <w:rPr>
            <w:rStyle w:val="Hyperlink"/>
          </w:rPr>
          <w:t xml:space="preserve">Routing the Dollar</w:t>
        </w:r>
      </w:hyperlink>
      <w:r>
        <w:t xml:space="preserve"> submitted to the Federal Reserve Fifth Conference on the Dollar's International Roles (Jun 2026); </w:t>
      </w:r>
      <w:hyperlink r:id="rId17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Capital-markets infrastructure dialogues with Circle and Ubyx on stablecoin and deposit-token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– Feb 2026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Built operational-risk taxonomies for tokenized systems: 74 risk vectors mapped to 64 testable controls and 31 program objectives across a 624-scenario simulation battery (published as </w:t>
      </w:r>
      <w:hyperlink r:id="rId18">
        <w:r>
          <w:rPr>
            <w:rStyle w:val="Hyperlink"/>
            <w:b/>
          </w:rPr>
          <w:t xml:space="preserve">Operational Risk in Token Economies</w:t>
        </w:r>
      </w:hyperlink>
      <w:r>
        <w:t>); Lido V3 staking-vault production case study sets operator collateral by risk-score alignment.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19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8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6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cuts worst-case supply volatility ~6x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6">
        <w:r>
          <w:rPr>
            <w:rStyle w:val="Hyperlink"/>
            <w:b/>
          </w:rPr>
          <w:t xml:space="preserve">Routing the Dollar.</w:t>
        </w:r>
      </w:hyperlink>
      <w:r>
        <w:t xml:space="preserve"> Submitted to Federal Reserve / FRBNY Fifth Conference on the Dollar's International Roles (Jun 2026). Gateway concentration; CLII across 19 gateways including Visa Direct-adjacent paths.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17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Spacescope, Blockscout, Token Terminal; automated SEC filing and press release monitoring + data extraction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(FRED, DefiLlama, CoinGecko, Helius, Blockscout, Tally, Dune, Spacescope, Nansen, GitHub) for real-time feeds;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(2024)</w:t>
      </w:r>
    </w:p>
    <w:p>
      <w:pPr>
        <w:spacing w:after="36" w:before="60"/>
        <w:ind w:left="320" w:hanging="160"/>
      </w:pPr>
      <w:r>
        <w:t>• ETHDenver pitch judge</w:t>
      </w:r>
    </w:p>
    <w:p>
      <w:pPr>
        <w:spacing w:after="36" w:before="60"/>
        <w:ind w:left="320" w:hanging="160"/>
      </w:pPr>
      <w:r>
        <w:t xml:space="preserve">• </w:t>
      </w:r>
      <w:hyperlink r:id="rId19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p>
      <w:pPr>
        <w:spacing w:after="0" w:before="60"/>
      </w:pPr>
      <w:r>
        <w:rPr>
          <w:rFonts w:ascii="Arial" w:cs="Arial" w:eastAsia="Arial" w:hAnsi="Arial"/>
          <w:color w:val="444444"/>
          <w:sz w:val="18"/>
          <w:szCs w:val="18"/>
        </w:rPr>
        <w:t>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adaptive-tokenomics/" TargetMode="External"/><Relationship Id="rId7" Type="http://schemas.openxmlformats.org/officeDocument/2006/relationships/hyperlink" Target="https://tokenization.systems/letters/occ-mvep-v4/" TargetMode="External"/><Relationship Id="rId8" Type="http://schemas.openxmlformats.org/officeDocument/2006/relationships/hyperlink" Target="https://tokenization.systems/letters/occ-supplemental/" TargetMode="External"/><Relationship Id="rId10" Type="http://schemas.openxmlformats.org/officeDocument/2006/relationships/hyperlink" Target="https://tokenization.systems/letters/treasury-genius-state-similarity/" TargetMode="External"/><Relationship Id="rId11" Type="http://schemas.openxmlformats.org/officeDocument/2006/relationships/hyperlink" Target="https://tokenization.systems/letters/fdic-ag19-ppsi-activities/" TargetMode="External"/><Relationship Id="rId12" Type="http://schemas.openxmlformats.org/officeDocument/2006/relationships/hyperlink" Target="https://tokenization.systems/letters/fdic-ag20-ppsi-application/" TargetMode="External"/><Relationship Id="rId13" Type="http://schemas.openxmlformats.org/officeDocument/2006/relationships/hyperlink" Target="https://tokenization.systems/letters/fincen-aml-cft/" TargetMode="External"/><Relationship Id="rId14" Type="http://schemas.openxmlformats.org/officeDocument/2006/relationships/hyperlink" Target="https://tokenization.systems/letters/fincen-ofac-ppsi-sanctions/" TargetMode="External"/><Relationship Id="rId15" Type="http://schemas.openxmlformats.org/officeDocument/2006/relationships/hyperlink" Target="https://tokenization.systems/letters/banking-agencies-joint-aml/" TargetMode="External"/><Relationship Id="rId16" Type="http://schemas.openxmlformats.org/officeDocument/2006/relationships/hyperlink" Target="https://tokenization.systems/papers/routing-the-dollar/" TargetMode="External"/><Relationship Id="rId17" Type="http://schemas.openxmlformats.org/officeDocument/2006/relationships/hyperlink" Target="https://tokenization.systems/papers/governance-concentration/" TargetMode="External"/><Relationship Id="rId18" Type="http://schemas.openxmlformats.org/officeDocument/2006/relationships/hyperlink" Target="https://tokenization.systems/papers/operational-risk/" TargetMode="External"/><Relationship Id="rId19" Type="http://schemas.openxmlformats.org/officeDocument/2006/relationships/hyperlink" Target="https://medium.com/borderless-capital/introduction-to-tokenomics-c7af75c09bfe" TargetMode="External"/><Relationship Id="rId20" Type="http://schemas.openxmlformats.org/officeDocument/2006/relationships/hyperlink" Target="https://tokenization.systems/papers/mvep/" TargetMode="External"/><Relationship Id="rId21" Type="http://schemas.openxmlformats.org/officeDocument/2006/relationships/hyperlink" Target="https://tokenization.systems/papers/three-strategies/" TargetMode="External"/><Relationship Id="rId22" Type="http://schemas.openxmlformats.org/officeDocument/2006/relationships/hyperlink" Target="https://tokenization.systems/papers/seven-dollars/" TargetMode="External"/><Relationship Id="rId23" Type="http://schemas.openxmlformats.org/officeDocument/2006/relationships/hyperlink" Target="https://tokenization.systems/papers/who-burns-the-token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