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AI GOVERNANCE · CONTROL-LAYER ACCOUNTABILITY · DILIGENCE FRAMEWORKS</w:t>
      </w:r>
    </w:p>
    <w:p>
      <w:pPr>
        <w:spacing w:after="10"/>
        <w:jc w:val="center"/>
      </w:pPr>
      <w:r>
        <w:rPr>
          <w:b w:val="0"/>
          <w:i w:val="0"/>
          <w:sz w:val="18"/>
        </w:rPr>
        <w:t>· 22 MCP + API connections · ~75 DATs analyzed · Diligence⁠-⁠doc review 4hr to 1hr</w:t>
        <w:br/>
        <w:t>· 8 SSRN papers · 13 federal comment letters · FSB AI consultation response</w:t>
        <w:br/>
        <w:t>· Patent⁠-⁠pending Canonical⁠-⁠State Architecture for multi⁠-⁠agent AI research (eleven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SUMMARY</w:t>
      </w:r>
    </w:p>
    <w:p>
      <w:pPr>
        <w:spacing w:after="40" w:before="160"/>
      </w:pPr>
      <w:r>
        <w:rPr>
          <w:rFonts w:ascii="Arial" w:cs="Arial" w:eastAsia="Arial" w:hAnsi="Arial"/>
          <w:color w:val="1A1A1A"/>
          <w:sz w:val="19"/>
          <w:szCs w:val="19"/>
        </w:rPr>
        <w:t>AI-augmented research and governance-infrastructure builder who turns control-layer and operator-accountability research into machine-readable diligence systems, now extending that accountability lens from stablecoin gateways to AI deployment. Founder of Tokenization Systems; first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9"/>
          <w:szCs w:val="19"/>
        </w:rPr>
        <w:t>Focus: research-infrastructure engineering, control-layer accountability, machine-readable diligence, agentic workflow automation · MCP server design, Monte Carlo, difference-in-differences, coalition-power analysis · Python, R, DuneSQL.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</w:t>
      </w:r>
    </w:p>
    <w:p>
      <w:pPr>
        <w:spacing w:after="36"/>
        <w:ind w:left="320" w:hanging="160"/>
      </w:pPr>
      <w:r>
        <w:t xml:space="preserve">• Contributed thirteen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first international standard-setter filing: </w:t>
      </w:r>
      <w:hyperlink r:id="rId20">
        <w:r>
          <w:rPr>
            <w:rStyle w:val="Hyperlink"/>
          </w:rPr>
          <w:t xml:space="preserve">FSB AI Sound Practices consultation response</w:t>
        </w:r>
      </w:hyperlink>
      <w:r>
        <w:t xml:space="preserve"> (Jul 2026), the first external deployment of the MVEP-AI / CLII-AI operator-accountability stack; </w:t>
      </w:r>
      <w:hyperlink r:id="rId21">
        <w:r>
          <w:rPr>
            <w:rStyle w:val="Hyperlink"/>
          </w:rPr>
          <w:t xml:space="preserve">Routing the Dollar</w:t>
        </w:r>
      </w:hyperlink>
      <w:r>
        <w:t xml:space="preserve"> submitted to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accepted for publication at Frontiers in Blockchain.</w:t>
      </w:r>
    </w:p>
    <w:p>
      <w:pPr>
        <w:spacing w:after="36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Research Function &amp; Automation</w:t>
      </w:r>
    </w:p>
    <w:p>
      <w:pPr>
        <w:spacing w:after="36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/>
        <w:ind w:left="320" w:hanging="160"/>
      </w:pPr>
      <w:r>
        <w:t>• Built the firm's research function from scratch; led a four-analyst team and personally produced ~25 of its ~125 long-form publications annually; taught 100 teams across nine accelerator programs (2021 to 2025).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Governance Standards Advisory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2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spacing w:after="36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Investment &amp; Conviction Calls</w:t>
      </w:r>
    </w:p>
    <w:p>
      <w:pPr>
        <w:spacing w:after="36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SELECTED RESEARCH</w:t>
      </w:r>
    </w:p>
    <w:p>
      <w:pPr>
        <w:spacing w:after="28"/>
        <w:ind w:left="320" w:hanging="160"/>
      </w:pPr>
      <w:r>
        <w:t xml:space="preserve">• </w:t>
      </w:r>
      <w:r>
        <w:rPr>
          <w:b/>
        </w:rPr>
        <w:t>Canonical-State Architecture.</w:t>
      </w:r>
      <w:r>
        <w:t xml:space="preserve"> Filed eleven US provisional patent applications in 2026: a five-element coordination system for concurrent AI-agent sessions on a shared version-controlled repository, integrating per-session staging-index isolation, a multi-mode verification engine, a commit-time canonical-state coherence gate, recursive self-validation of discipline codifications, and an operator-confirmed promotion gate; validated across ~7,900 commits and 16 or more parallel AI coding sessions over ~4 months, with a companion 73-page methodology preprint. The applications extend the architecture to role-routed cross-session coordination, actual-touched-file collision detection, and a self-describing verification registry, plus separate applications for evidence-grounding of AI-generated assessments and cited values.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Accepted for publication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cuts worst-case supply volatility ~6x under competitor-shock attack.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spacing w:after="28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Routing the Dollar.</w:t>
        </w:r>
      </w:hyperlink>
      <w:r>
        <w:t xml:space="preserve"> Submitted to Federal Reserve / FRBNY Fifth Conference on the Dollar's International Roles (Jun 2026). Gateway concentration; CLII across 19 gateways including Visa Direct-adjacent paths.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The Control Layer of Agentic Payments.</w:t>
        </w:r>
      </w:hyperlink>
      <w:r>
        <w:t xml:space="preserve"> First control-layer measurement of live agentic payments (x402): facilitator concentration above the antitrust highly-concentrated threshold on every chain measured, subsidy and proxy pipelines exposed by buyer cardinality, and a composition chain with no accountable layer; anchors the FSB AI-consultation response.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/>
        <w:ind w:left="320" w:hanging="160"/>
      </w:pPr>
      <w:r>
        <w:t>• Informal AI-governance focus group at Foresight Institute Vision Weekend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2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</w:p>
    <w:p>
      <w:pPr>
        <w:tabs>
          <w:tab w:val="right" w:pos="10320"/>
        </w:tabs>
        <w:spacing w:after="0"/>
      </w:pPr>
      <w:r>
        <w:rPr>
          <w:b w:val="0"/>
          <w:i w:val="0"/>
        </w:rPr>
        <w:t>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letters/fsb-ai-sound-practices/" TargetMode="External"/><Relationship Id="rId21" Type="http://schemas.openxmlformats.org/officeDocument/2006/relationships/hyperlink" Target="https://tokenization.systems/papers/routing-the-dollar/" TargetMode="External"/><Relationship Id="rId22" Type="http://schemas.openxmlformats.org/officeDocument/2006/relationships/hyperlink" Target="https://medium.com/borderless-capital/introduction-to-tokenomics-c7af75c09bfe" TargetMode="External"/><Relationship Id="rId23" Type="http://schemas.openxmlformats.org/officeDocument/2006/relationships/hyperlink" Target="https://tokenization.systems/papers/who-burns-the-tokens/" TargetMode="External"/><Relationship Id="rId24" Type="http://schemas.openxmlformats.org/officeDocument/2006/relationships/hyperlink" Target="https://tokenization.systems/papers/agentic-payments-control-layer/" TargetMode="External"/><Relationship Id="rId25" Type="http://schemas.openxmlformats.org/officeDocument/2006/relationships/hyperlink" Target="https://tokenization.systems/papers/seven-dollar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