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>TOKENIZED-PRODUCT INVESTMENT MANAGEMENT · DUE DILIGENCE · PORTFOLIO STRATEGY</w:t>
      </w:r>
    </w:p>
    <w:p>
      <w:pPr>
        <w:spacing w:after="10"/>
        <w:jc w:val="center"/>
      </w:pPr>
      <w:r>
        <w:rPr>
          <w:b w:val="0"/>
          <w:i w:val="0"/>
          <w:sz w:val="18"/>
        </w:rPr>
        <w:t>· ~$500M AUM · 250 investments (~25% deployment rate) · ~75 DATs analyzed, 18 invested · LayerZero seed (~80x) · 8 SSRN papers · 13 federal comment letters</w:t>
        <w:br/>
        <w:t>· Patent⁠-⁠pending Canonical⁠-⁠State Architecture for multi⁠-⁠agent AI research (eleven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Tokenized-product investment researcher who underwrites tokenized money-market funds, deposit tokens, stablecoins, and yield wrappers from sourcing through committee. First hire at Borderless Capital, an RIA; now founder of Tokenization Systems.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>Focus: tokenized-product diligence, portfolio construction, build-versus-hold allocation, NAV and mNAV analysis, deal sourcing · scenario modeling, Monte Carlo, difference-in-differences · pre-seed to Series C, Digital Asset Treasuries.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Working dialogue with capital-markets infrastructure operators on stablecoin, deposit-token, tokenized-deposit,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spacing w:after="36"/>
        <w:ind w:left="320" w:hanging="160"/>
      </w:pPr>
      <w:r>
        <w:t xml:space="preserve">• Sourced the </w:t>
      </w:r>
      <w:r>
        <w:rPr>
          <w:b/>
        </w:rPr>
        <w:t>LayerZero seed round</w:t>
      </w:r>
      <w:r>
        <w:t xml:space="preserve"> investment for Borderless, returning ~80x; the underlying cross-chain interoperability thesis preceded the firm's Cross-Chain Ecosystem Fund by two years.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spacing w:after="36"/>
        <w:ind w:left="320" w:hanging="160"/>
      </w:pPr>
      <w:r>
        <w:t>• Shipped 250 portfolio investments (~25% deployment rate) across ~10 institutional funds (~$500M AUM) from a 1,000+ deal pre-seed-to-Series-C funnel, with build/partner/hold recommendations to committee.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 xml:space="preserve">• Advised 100 portfolio companies 1-on-1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pricing and subsidy-to-revenue trajectories, and governance concentration under wide scenario ranges; supply-equilibrium and slashing dynamics supporting Layer 1 business-model and mechanism-design advisory.</w:t>
      </w:r>
    </w:p>
    <w:p>
      <w:pPr>
        <w:spacing w:after="36"/>
        <w:ind w:left="320" w:hanging="160"/>
      </w:pPr>
      <w:r>
        <w:t>• Built automated SEC-filing and press-release monitoring for Digital Asset Treasury Stocks (DATs); analyzed ~75 tokenization offerings in 2025 and invested in 18; AI-assisted diligence workflows reducing subscription-document review from ~4 hours to ~1 hour per deal.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 and how dollars move across them;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Tokenized Equity Vehicles.</w:t>
        </w:r>
      </w:hyperlink>
      <w:r>
        <w:t xml:space="preserve"> Comparative analysis of Robinhood Stock Tokens and Backed xStocks across legal form, investor claim, liquidity architecture, and corporate-actions reconciliation; the binding constraints that determine whether institutions can hold, trade, and report tokenized equity.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tokenized-equity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