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8"/>
          <w:szCs w:val="38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>STABLECOIN OPERATIONAL RISK · SCENARIO MODELING · TOKEN-ECONOMIC MODELING</w:t>
      </w:r>
    </w:p>
    <w:p>
      <w:pPr>
        <w:spacing w:after="10"/>
        <w:jc w:val="center"/>
      </w:pPr>
      <w:r>
        <w:rPr>
          <w:b w:val="0"/>
          <w:i w:val="0"/>
          <w:sz w:val="17"/>
        </w:rPr>
        <w:t>· 74⁠-⁠vector risk taxonomy · 64 testable controls · 624⁠-⁠scenario simulation battery · Thorchain $200M insolvency modeled 13 months ahead · 8 SSRN papers · 13 federal comment letters</w:t>
        <w:br/>
        <w:t>· Patent⁠-⁠pending Canonical⁠-⁠State Architecture for multi⁠-⁠agent AI research (eleven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SUMMARY</w:t>
      </w:r>
    </w:p>
    <w:p>
      <w:pPr>
        <w:spacing w:after="40" w:before="160"/>
      </w:pPr>
      <w:r>
        <w:rPr>
          <w:rFonts w:ascii="Arial" w:cs="Arial" w:eastAsia="Arial" w:hAnsi="Arial"/>
          <w:color w:val="1A1A1A"/>
          <w:sz w:val="18"/>
          <w:szCs w:val="18"/>
        </w:rPr>
        <w:t>Operational and token-economic risk modeler who turns scenario simulation and coalition analysis into pre-failure risk calls and no-exposure positions, from protocol insolvency to governance capture. Founder of Tokenization Systems; first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8"/>
          <w:szCs w:val="18"/>
        </w:rPr>
        <w:t>Focus: operational risk, token-economic modeling, scenario modeling, stablecoin and tokenization risk · Monte Carlo, difference-in-differences, PID controller design, supply-equilibrium and coalition-power analysis · OCC, FDIC, FinCEN, Treasury GENIUS, MiCA.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thirteen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accepted for publication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Risk Detection &amp; Loss Prevention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Controls &amp; Risk Frameworks</w:t>
      </w:r>
    </w:p>
    <w:p>
      <w:pPr>
        <w:spacing w:after="36"/>
        <w:ind w:left="320" w:hanging="160"/>
      </w:pPr>
      <w:r>
        <w:t xml:space="preserve">• Built operational-risk taxonomies for tokenized systems: 74 risk vectors mapped to 64 testable controls and 31 program objectives across a 624-scenario simulation battery (published as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); Lido V3 staking-vault production case study sets operator collateral by risk-score alignment.</w:t>
      </w:r>
    </w:p>
    <w:p>
      <w:pPr>
        <w:spacing w:after="36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Diligence &amp; Advisory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/>
        <w:ind w:left="320" w:hanging="160"/>
      </w:pPr>
      <w:r>
        <w:t xml:space="preserve">• Advised 100 portfolio companies 1-on-1 (50+ multi-session)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spacing w:after="36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Accepted for publication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6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7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28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29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4"/>
      <w:szCs w:val="54"/>
    </w:rPr>
  </w:style>
  <w:style w:type="paragraph" w:styleId="Heading1">
    <w:name w:val="Heading 1"/>
    <w:basedOn w:val="Normal"/>
    <w:next w:val="Normal"/>
    <w:qFormat/>
    <w:rPr>
      <w:color w:val="2E74B5"/>
      <w:sz w:val="31"/>
      <w:szCs w:val="31"/>
    </w:rPr>
  </w:style>
  <w:style w:type="paragraph" w:styleId="Heading2">
    <w:name w:val="Heading 2"/>
    <w:basedOn w:val="Normal"/>
    <w:next w:val="Normal"/>
    <w:qFormat/>
    <w:rPr>
      <w:color w:val="2E74B5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9"/>
      <w:szCs w:val="19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9"/>
      <w:szCs w:val="19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dollar-v3/" TargetMode="External"/><Relationship Id="rId25" Type="http://schemas.openxmlformats.org/officeDocument/2006/relationships/hyperlink" Target="https://tokenization.systems/papers/who-burns-the-tokens/" TargetMode="External"/><Relationship Id="rId26" Type="http://schemas.openxmlformats.org/officeDocument/2006/relationships/hyperlink" Target="https://tokenization.systems/frameworks/#clii" TargetMode="External"/><Relationship Id="rId27" Type="http://schemas.openxmlformats.org/officeDocument/2006/relationships/hyperlink" Target="https://tokenization.systems/frameworks/#mvep" TargetMode="External"/><Relationship Id="rId28" Type="http://schemas.openxmlformats.org/officeDocument/2006/relationships/hyperlink" Target="https://tokenization.systems/frameworks/#mgcpt" TargetMode="External"/><Relationship Id="rId29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