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~$500M AUM · 250 investments (~25% deployment rate) · ~75 DATs analyzed, 18 invested · LayerZero seed (~80x) · 8 SSRN 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Tokenization-focused investment management strategist. Founding research hire at Borderless Capital (RIA, Dec 2019 to Feb 2026): sourced the LayerZero seed round (~80x return; thesis preceded the firm's Cross-Chain Ecosystem Fund by two years); led 1,000+ deal pre-seed-to-Series-C funnel; shipped 250 portfolio investments at ~25% deployment rate and ~$500M AUM. Predicted Thorchain's $200M insolvency 13 months in advance via 10-step scenario modeling (Dec 2023 internal memo; failure materialized in Jan 2025), underwriting the firm's no-exposure position. Now founder of Tokenization Systems (Feb 2026 to present), publishing institutional diligence frameworks: Minimum Viable Equivalence Pack (MVEP) for tokenized money-market funds, deposit tokens, payment stablecoins, and yield wrappers; Control Layer Intensity Index (CLII) for stablecoin gateway concentration. Authored eight SSRN papers and contributed eight federal regulatory comment letters across stablecoin and banking dockets. Built apples-to-apples Multiple on NAV (mNAV) methodology standardizing DAT cross-issuer comparison; daily mNAV dashboard sources SEC filings and press releases.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Tokenized Equity Vehicles.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