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74-vector risk taxonomy · 64 testable controls · 624-scenario simulation battery · Thorchain $200M insolvency modeled 13 months ahead · 8 SSRN 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Operational risk and scenario-modeling strategist. In Dec 2023 authored a 10-step scenario-modeling memo predicting Thorchain's eventual $200M insolvency in a protocol whose token had peaked at $3.3B market cap; predicted failure mode materialized in Jan 2025 (13 months later); the firm held no exposure. Founding research hire at Borderless Capital (RIA, Dec 2019 to Feb 2026); built quantitative token-economic models forecasting emissions, fee capture, subsidy-to-revenue trajectories, and governance concentration under wide scenario ranges. Now founder of Tokenization Systems (Feb 2026 to present); published Operational Risk in Token Economies (74-vector taxonomy mapped to 64 testable controls and 31 program objectives across a 624-scenario simulation battery; Lido V3 staking-vault production case study) and Adaptive Tokenomics (industrial-control-engineering PID controller; 240-scenario Monte Carlo; ~6x worst-case supply-volatility compression under competitor-shock attack). Contributed eight federal regulatory comment letters across stablecoin and banking dockets. Authored the Operational Risk in Token Economies taxonomy: 74 risk vectors mapped to 64 testable controls and 31 program objectives across a 624-scenario simulation battery; Lido V3 staking-vault case study.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