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r:id="rIdtk3pkbjp0bnea-khivcha">
        <w:r>
          <w:rPr>
            <w:rStyle w:val="Hyperlink"/>
            <w:sz w:val="17"/>
            <w:szCs w:val="17"/>
          </w:rPr>
          <w:t xml:space="preserve">Tokenization.Systems</w:t>
        </w:r>
      </w:hyperlink>
      <w:r>
        <w:rPr>
          <w:sz w:val="17"/>
          <w:szCs w:val="17"/>
        </w:rPr>
        <w:t xml:space="preserve">  |  </w:t>
      </w:r>
      <w:hyperlink r:id="rIdnnxna0daueqz2sdxissom">
        <w:r>
          <w:rPr>
            <w:rStyle w:val="Hyperlink"/>
            <w:sz w:val="17"/>
            <w:szCs w:val="17"/>
          </w:rPr>
          <w:t xml:space="preserve">LinkedIn</w:t>
        </w:r>
      </w:hyperlink>
      <w:r>
        <w:rPr>
          <w:sz w:val="17"/>
          <w:szCs w:val="17"/>
        </w:rPr>
        <w:t xml:space="preserve">  |  </w:t>
      </w:r>
      <w:hyperlink r:id="rIdrdmpe-g4zsyvawvrrkisd">
        <w:r>
          <w:rPr>
            <w:rStyle w:val="Hyperlink"/>
            <w:sz w:val="17"/>
            <w:szCs w:val="17"/>
          </w:rPr>
          <w:t xml:space="preserve">SSRN</w:t>
        </w:r>
      </w:hyperlink>
      <w:r>
        <w:rPr>
          <w:sz w:val="17"/>
          <w:szCs w:val="17"/>
        </w:rPr>
        <w:t xml:space="preserve">  |  </w:t>
      </w:r>
      <w:hyperlink r:id="rId6">
        <w:r>
          <w:rPr>
            <w:rStyle w:val="Hyperlink"/>
            <w:sz w:val="17"/>
            <w:szCs w:val="17"/>
          </w:rPr>
          <w:t xml:space="preserve">Agent infrastructure</w:t>
        </w:r>
      </w:hyperlink>
    </w:p>
    <w:p>
      <w:pPr>
        <w:spacing w:after="15"/>
        <w:jc w:val="center"/>
      </w:pPr>
      <w:r>
        <w:rPr>
          <w:rFonts w:ascii="Arial" w:cs="Arial" w:eastAsia="Arial" w:hAnsi="Arial"/>
          <w:b/>
          <w:bCs/>
          <w:color w:val="1A1A1A"/>
          <w:sz w:val="21"/>
          <w:szCs w:val="21"/>
        </w:rPr>
        <w:t>AI GOVERNANCE · CONTROL-LAYER ACCOUNTABILITY · DILIGENCE FRAMEWORKS</w:t>
      </w:r>
    </w:p>
    <w:p>
      <w:pPr>
        <w:spacing w:after="10"/>
        <w:jc w:val="center"/>
      </w:pPr>
      <w:r>
        <w:rPr>
          <w:b w:val="0"/>
          <w:i w:val="0"/>
          <w:sz w:val="17"/>
        </w:rPr>
        <w:t>· Agent fleet: over 59,000 commits · typical overlap 14, peak 61 · commit gate of over 200 checks</w:t>
        <w:br/>
        <w:t>· over 28,000 advisory firings measured across 33 classes · 78⁠-⁠skill library · 33⁠-⁠file canonical⁠-⁠state layer</w:t>
        <w:br/>
        <w:t>· 37 USPTO patent applications across 27 families (Canonical⁠-⁠State Architecture for multi⁠-⁠agent AI research)</w:t>
        <w:br/>
        <w:t>· 9 SSRN papers · 21 federal comment letters · FSB AI consultation response</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7"/>
          <w:szCs w:val="17"/>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8"/>
          <w:szCs w:val="18"/>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Built the human-in-the-loop layer over the fleet: a terminal grid of every live agent session with a phone control bar, and a web dashboard with live session control. Agents act inside declared authority boundaries; consent, outward-facing and irreversible actions stay with the human operator.</w:t>
      </w:r>
    </w:p>
    <w:p>
      <w:pPr>
        <w:spacing w:after="36"/>
        <w:ind w:left="320" w:hanging="160"/>
      </w:pPr>
      <w:r>
        <w:t xml:space="preserve">• Authored a nine-paper SSRN-live research program covering the </w:t>
      </w:r>
      <w:hyperlink r:id="rId7">
        <w:r>
          <w:rPr>
            <w:rStyle w:val="Hyperlink"/>
          </w:rPr>
          <w:t xml:space="preserve">Control Layer Intensity Index</w:t>
        </w:r>
      </w:hyperlink>
      <w:r>
        <w:t xml:space="preserve"> (CLII) for gateway concentration, the </w:t>
      </w:r>
      <w:hyperlink r:id="rId8">
        <w:r>
          <w:rPr>
            <w:rStyle w:val="Hyperlink"/>
          </w:rPr>
          <w:t xml:space="preserve">Minimum Viable Equivalence Pack</w:t>
        </w:r>
      </w:hyperlink>
      <w:r>
        <w:t xml:space="preserve"> (MVEP) for institutional tokenization diligence, programmable monetary-policy design (</w:t>
      </w:r>
      <w:hyperlink r:id="rId10">
        <w:r>
          <w:rPr>
            <w:rStyle w:val="Hyperlink"/>
          </w:rPr>
          <w:t xml:space="preserve">Adaptive Tokenomics</w:t>
        </w:r>
      </w:hyperlink>
      <w:r>
        <w:t xml:space="preserve">), </w:t>
      </w:r>
      <w:hyperlink r:id="rId11">
        <w:r>
          <w:rPr>
            <w:rStyle w:val="Hyperlink"/>
          </w:rPr>
          <w:t xml:space="preserve">governance concentration</w:t>
        </w:r>
      </w:hyperlink>
      <w:r>
        <w:t xml:space="preserve">, and </w:t>
      </w:r>
      <w:hyperlink r:id="rId12">
        <w:r>
          <w:rPr>
            <w:rStyle w:val="Hyperlink"/>
          </w:rPr>
          <w:t xml:space="preserve">operational risk in token economies</w:t>
        </w:r>
      </w:hyperlink>
      <w:r>
        <w:t>.</w:t>
      </w:r>
    </w:p>
    <w:p>
      <w:pPr>
        <w:spacing w:after="36"/>
        <w:ind w:left="320" w:hanging="160"/>
      </w:pPr>
      <w:r>
        <w:t xml:space="preserve">• Contributed 21 comment letters across a federal regulatory program (OCC bank stablecoin engagement </w:t>
      </w:r>
      <w:hyperlink r:id="rId13">
        <w:r>
          <w:rPr>
            <w:rStyle w:val="Hyperlink"/>
          </w:rPr>
          <w:t xml:space="preserve">RIN 1557-AF41</w:t>
        </w:r>
      </w:hyperlink>
      <w:r>
        <w:t xml:space="preserve"> plus </w:t>
      </w:r>
      <w:hyperlink r:id="rId14">
        <w:r>
          <w:rPr>
            <w:rStyle w:val="Hyperlink"/>
          </w:rPr>
          <w:t xml:space="preserve">supplemental control-layer extension</w:t>
        </w:r>
      </w:hyperlink>
      <w:r>
        <w:t xml:space="preserve">; </w:t>
      </w:r>
      <w:hyperlink r:id="rId15">
        <w:r>
          <w:rPr>
            <w:rStyle w:val="Hyperlink"/>
          </w:rPr>
          <w:t xml:space="preserve">Treasury GENIUS Act state similarity</w:t>
        </w:r>
      </w:hyperlink>
      <w:r>
        <w:t xml:space="preserve">; FDIC payment-stablecoin reserve standards </w:t>
      </w:r>
      <w:hyperlink r:id="rId16">
        <w:r>
          <w:rPr>
            <w:rStyle w:val="Hyperlink"/>
          </w:rPr>
          <w:t xml:space="preserve">RIN 3064-AG19</w:t>
        </w:r>
      </w:hyperlink>
      <w:r>
        <w:t xml:space="preserve"> and stablecoin-subsidiary issuance approvals </w:t>
      </w:r>
      <w:hyperlink r:id="rId17">
        <w:r>
          <w:rPr>
            <w:rStyle w:val="Hyperlink"/>
          </w:rPr>
          <w:t xml:space="preserve">RIN 3064-AG20</w:t>
        </w:r>
      </w:hyperlink>
      <w:r>
        <w:t xml:space="preserve">; FinCEN AML/CFT </w:t>
      </w:r>
      <w:hyperlink r:id="rId18">
        <w:r>
          <w:rPr>
            <w:rStyle w:val="Hyperlink"/>
          </w:rPr>
          <w:t xml:space="preserve">FINCEN-2026-0034</w:t>
        </w:r>
      </w:hyperlink>
      <w:r>
        <w:t xml:space="preserve">; FinCEN-OFAC PPSI sanctions </w:t>
      </w:r>
      <w:hyperlink r:id="rId19">
        <w:r>
          <w:rPr>
            <w:rStyle w:val="Hyperlink"/>
          </w:rPr>
          <w:t xml:space="preserve">FINCEN-2026-0100</w:t>
        </w:r>
      </w:hyperlink>
      <w:r>
        <w:t xml:space="preserve">; joint banking AML/CFT </w:t>
      </w:r>
      <w:hyperlink r:id="rId20">
        <w:r>
          <w:rPr>
            <w:rStyle w:val="Hyperlink"/>
          </w:rPr>
          <w:t xml:space="preserve">91 FR 18304</w:t>
        </w:r>
      </w:hyperlink>
      <w:r>
        <w:t xml:space="preserve">); first international standard-setter filing: </w:t>
      </w:r>
      <w:hyperlink r:id="rId21">
        <w:r>
          <w:rPr>
            <w:rStyle w:val="Hyperlink"/>
          </w:rPr>
          <w:t xml:space="preserve">FSB AI Sound Practices consultation response</w:t>
        </w:r>
      </w:hyperlink>
      <w:r>
        <w:t xml:space="preserve"> (Jul 2026), the first external deployment of the AI-domain extensions of the Minimum Viable Equivalence Pack and Control Layer Intensity Index (MVEP-AI / CLII-AI); </w:t>
      </w:r>
      <w:hyperlink r:id="rId22">
        <w:r>
          <w:rPr>
            <w:rStyle w:val="Hyperlink"/>
          </w:rPr>
          <w:t xml:space="preserve">Routing the Dollar</w:t>
        </w:r>
      </w:hyperlink>
      <w:r>
        <w:t xml:space="preserve"> submitted to the Federal Reserve Fifth Conference on the Dollar's International Roles (Jun 2026); </w:t>
      </w:r>
      <w:hyperlink r:id="rId11">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r>
        <w:rPr>
          <w:b/>
        </w:rPr>
        <w:t>Canonical-State Architecture.</w:t>
      </w:r>
      <w:r>
        <w:t xml:space="preserve"> Filed 37 US patent applications across 27 families in 2026. Twelve applications across four families cover coordination and integrity for concurrent AI-agent sessions on a shared version-controlled repository: per-session staging-index isolation, a multi-mode verification engine, a commit-time canonical-state coherence gate, recursive self-validation of discipline codifications, a tamper-evident coordination-proof log, authorship-narrowed commit replay with a per-writer edit-intent ledger, and statement-time provenance binding under fail-closed admission control; validated on over 59,000 commits and 12 to 55 concurrent agents over seven months (as of 2026-09-28), with a companion 73-page methodology preprint. The other twenty-three families cover evidence-grounding interlocks against hallucinated machine assessment (two applications); typed-absence control attribution for pseudonymous on-chain systems (three); instrument-absence as a typed outcome with verifier-integrity controls (two); authority-aware context retrieval, resource-triggered session handoff, fleet launch-governance admission, contribution attestation, and derived-artifact coherence (six); calibration-gated detector promotion and evaluation instrumentation (three); reputation-weighted governance thresholds (two); and seven families filed since August covering provenance-chain attribution, source-fidelity omission-and-fabrication detection, outbound-artifact gating as typed negative outcomes, blinded evaluation batteries, peer-health-gated destructive cleanup, confidence-gated typed-judgment offload, and warranted destructive maintenance anchored to prior repository state (one each).</w:t>
      </w:r>
    </w:p>
    <w:p>
      <w:pPr>
        <w:spacing w:after="28"/>
        <w:ind w:left="320" w:hanging="160"/>
      </w:pPr>
      <w:r>
        <w:t xml:space="preserve">• </w:t>
      </w:r>
      <w:hyperlink r:id="rId11">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2">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w:t>
      </w:r>
    </w:p>
    <w:p>
      <w:pPr>
        <w:spacing w:after="28"/>
        <w:ind w:left="320" w:hanging="160"/>
      </w:pPr>
      <w:r>
        <w:t xml:space="preserve">• </w:t>
      </w:r>
      <w:hyperlink r:id="rId10">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2">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8">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22 MCP and API connections wrapping the data sources above plus GitHub; Claude.ai + Claude Code + OpenAI Codex + Cursor with 78-skill library and 33-file canonical-state architecture; Jev (TypeSafe) typed-judgment offload; local models via Ollama (IBM Granite, Qwen);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agent-infrastructure/" TargetMode="External"/><Relationship Id="rId7" Type="http://schemas.openxmlformats.org/officeDocument/2006/relationships/hyperlink" Target="https://tokenization.systems/papers/control-layer-war/" TargetMode="External"/><Relationship Id="rId8" Type="http://schemas.openxmlformats.org/officeDocument/2006/relationships/hyperlink" Target="https://tokenization.systems/papers/mvep/" TargetMode="External"/><Relationship Id="rId10" Type="http://schemas.openxmlformats.org/officeDocument/2006/relationships/hyperlink" Target="https://tokenization.systems/papers/adaptive-tokenomics/" TargetMode="External"/><Relationship Id="rId11" Type="http://schemas.openxmlformats.org/officeDocument/2006/relationships/hyperlink" Target="https://www.frontiersin.org/journals/blockchain/articles/10.3389/fbloc.2026.1853465/full" TargetMode="External"/><Relationship Id="rId12" Type="http://schemas.openxmlformats.org/officeDocument/2006/relationships/hyperlink" Target="https://tokenization.systems/papers/operational-risk/" TargetMode="External"/><Relationship Id="rId13" Type="http://schemas.openxmlformats.org/officeDocument/2006/relationships/hyperlink" Target="https://tokenization.systems/letters/occ-mvep-v4/" TargetMode="External"/><Relationship Id="rId14" Type="http://schemas.openxmlformats.org/officeDocument/2006/relationships/hyperlink" Target="https://tokenization.systems/letters/occ-supplemental/" TargetMode="External"/><Relationship Id="rId15" Type="http://schemas.openxmlformats.org/officeDocument/2006/relationships/hyperlink" Target="https://tokenization.systems/letters/treasury-genius-state-similarity/" TargetMode="External"/><Relationship Id="rId16" Type="http://schemas.openxmlformats.org/officeDocument/2006/relationships/hyperlink" Target="https://tokenization.systems/letters/fdic-ag19-ppsi-activities/" TargetMode="External"/><Relationship Id="rId17" Type="http://schemas.openxmlformats.org/officeDocument/2006/relationships/hyperlink" Target="https://tokenization.systems/letters/fdic-ag20-ppsi-application/" TargetMode="External"/><Relationship Id="rId18" Type="http://schemas.openxmlformats.org/officeDocument/2006/relationships/hyperlink" Target="https://tokenization.systems/letters/fincen-aml-cft/" TargetMode="External"/><Relationship Id="rId19" Type="http://schemas.openxmlformats.org/officeDocument/2006/relationships/hyperlink" Target="https://tokenization.systems/letters/fincen-ofac-ppsi-sanctions/" TargetMode="External"/><Relationship Id="rId20" Type="http://schemas.openxmlformats.org/officeDocument/2006/relationships/hyperlink" Target="https://tokenization.systems/letters/banking-agencies-joint-aml/"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routing-the-dollar/"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medium.com/borderless-capital/introduction-to-tokenomics-c7af75c09bf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