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p>
    <w:p>
      <w:pPr>
        <w:spacing w:after="15"/>
        <w:jc w:val="center"/>
      </w:pPr>
      <w:r>
        <w:rPr>
          <w:rFonts w:ascii="Arial" w:cs="Arial" w:eastAsia="Arial" w:hAnsi="Arial"/>
          <w:b/>
          <w:bCs/>
          <w:color w:val="1A1A1A"/>
          <w:sz w:val="21"/>
          <w:szCs w:val="21"/>
        </w:rPr>
        <w:t>TOKENIZED-PRODUCT INVESTMENT MANAGEMENT · DUE DILIGENCE · PORTFOLIO STRATEGY</w:t>
      </w:r>
    </w:p>
    <w:p>
      <w:pPr>
        <w:spacing w:after="10"/>
        <w:jc w:val="center"/>
      </w:pPr>
      <w:r>
        <w:rPr>
          <w:b w:val="0"/>
          <w:i w:val="0"/>
          <w:sz w:val="17"/>
        </w:rPr>
        <w:t>· Digital assets since 2016 (10 years) · ~$500M AUM · 250 investments (~25% deployment rate) · ~75 DATs analyzed, 18 invested · LayerZero seed (~80x) · 9 SSRN papers · 21 federal comment letters</w:t>
        <w:br/>
        <w:t>· 37 USPTO patent applications across 27 families (Canonical⁠-⁠State Architecture for multi⁠-⁠agent AI research)</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7"/>
          <w:szCs w:val="17"/>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21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xml:space="preserve">• Worked on the </w:t>
      </w:r>
      <w:r>
        <w:rPr>
          <w:b/>
        </w:rPr>
        <w:t>Cross-Chain Ecosystem Fund</w:t>
      </w:r>
      <w:r>
        <w:t>, which partnered with, invested in, and took investment from 15 of the top 25 Layer 1 chains, ecosystems that were simultaneously LPs, co-investors, and portfolio; supplied them access to teams building cross-chain composability infrastructure no single ecosystem could source alone.</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 Editor-invited submission to the Journal of Financial Regulation.</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4">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5">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www.frontiersin.org/journals/blockchain/articles/10.3389/fbloc.2026.1853465/full"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letters/fsb-ai-sound-practices/" TargetMode="External"/><Relationship Id="rId26" Type="http://schemas.openxmlformats.org/officeDocument/2006/relationships/hyperlink" Target="https://tokenization.systems/papers/tokenized-equity/"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