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AI-AUGMENTED RESEARCH · GOVERNANCE INFRASTRUCTURE · TOKENIZATION</w:t>
      </w:r>
    </w:p>
    <w:p>
      <w:pPr>
        <w:spacing w:after="10" w:before="60"/>
        <w:jc w:val="center"/>
      </w:pPr>
      <w:r>
        <w:rPr>
          <w:rFonts w:ascii="Arial" w:cs="Arial" w:eastAsia="Arial" w:hAnsi="Arial"/>
          <w:i/>
          <w:color w:val="444444"/>
          <w:sz w:val="18"/>
          <w:szCs w:val="19"/>
        </w:rPr>
        <w:t>14 custom MCP servers · ~75 DATs analyzed · diligence⁠-⁠doc review shortened from 4hr to 1hr per deal · 8 SSRN papers · 8 federal comment letters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AI-augmented research and governance infrastructure strategist. Built 14 custom Python MCP servers (FRED macro data, DefiLlama / CoinGecko / Artemis stablecoin and DeFi data, Helius for Solana, Etherscan / Blockscout for EVM chains, rated.network / Beaconcha.in for validator data, Tally for DAO governance, Dune Analytics, Spacescope, Nansen for wallet flows, and GitHub for specs and code) plus AI-assisted diligence workflows reducing subscription-document review ~4x (4 hours to 1 hour per deal) and automated SEC-filing and press-release monitoring covering ~75 Digital Asset Treasury Stocks (DATs) in 2025. Founding research hire at Borderless Capital (RIA, Dec 2019 to Feb 2026); shipped 250 portfolio investments at ~$500M AUM; predicted Thorchain's $200M insolvency 13 months ahead; sourced the LayerZero seed (~80x). Now founder of Tokenization Systems (Feb 2026 to present); published eight SSRN papers including Governance Concentration Beyond Token Allocation (37-protocol multivariate analysis: protocol sector predicts governance concentration more than initial token allocation) and Operational Risk in Token Economies.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r>
        <w:rPr>
          <w:b/>
        </w:rPr>
        <w:t>Control Layer Intensity Index</w:t>
      </w:r>
      <w:r>
        <w:t xml:space="preserve"> (CLII) for gateway concentration, the </w:t>
      </w:r>
      <w:r>
        <w:rPr>
          <w:b/>
        </w:rPr>
        <w:t>Minimum Viable Equivalence Pack</w:t>
      </w:r>
      <w:r>
        <w:t xml:space="preserve"> (MVEP) for institutional tokenization diligence, programmable monetary-policy design (Adaptive Tokenomics), governance concentration, and operational risk in token economies.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6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7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8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0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1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2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3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4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5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Capital-markets infrastructure dialogues with Circle and Ubyx on stablecoin and deposit-token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concentration, yield wrappers, burn/emission dynamics); standards captured in </w:t>
      </w:r>
      <w:hyperlink r:id="rId17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 / Compliance.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>• Built the firm's research function from scratch; led a four-analyst team producing ~25 long-form publications annually; taught 100 teams across nine accelerator programs (2021 to 2025).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SSRN; in peer review at Frontiers in Blockchain. 37-protocol multivariate analysis: initial token allocation does not predict governance concentration; protocol sector does (DePIN protocols are significantly more concentrated than DeFi; large effect size).</w:t>
      </w:r>
    </w:p>
    <w:p>
      <w:pPr>
        <w:spacing w:after="28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Operational Risk in Token Economies.</w:t>
        </w:r>
      </w:hyperlink>
      <w:r>
        <w:t xml:space="preserve"> SSRN.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Adaptive Tokenomics.</w:t>
        </w:r>
      </w:hyperlink>
      <w:r>
        <w:t xml:space="preserve"> SSRN.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Who Burns the Tokens?</w:t>
        </w:r>
      </w:hyperlink>
      <w:r>
        <w:t xml:space="preserve"> SSRN. Burn-mechanism design (not network size) drives demand concentration; coalition-power analysis extends standard concentration measures for single-address risk.</w:t>
      </w:r>
    </w:p>
    <w:p>
      <w:pPr>
        <w:spacing w:after="28" w:before="60"/>
        <w:ind w:left="320" w:hanging="160"/>
      </w:pPr>
      <w:r>
        <w:t xml:space="preserve">• </w:t>
      </w:r>
      <w:hyperlink r:id="rId15">
        <w:r>
          <w:rPr>
            <w:rStyle w:val="Hyperlink"/>
            <w:b/>
          </w:rPr>
          <w:t xml:space="preserve">Routing the Dollar.</w:t>
        </w:r>
      </w:hyperlink>
      <w:r>
        <w:t xml:space="preserve"> SSRN; submitted to Federal Reserve / FRBNY Fifth Conference on the Dollar's International Roles (Jun 2026). Gateway concentration; CLII across 19 gateways including Visa Direct-adjacent paths.</w:t>
      </w:r>
    </w:p>
    <w:p>
      <w:pPr>
        <w:spacing w:after="28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Minimum Viable Equivalence Pack.</w:t>
        </w:r>
      </w:hyperlink>
      <w:r>
        <w:t xml:space="preserve"> SSRN.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SSRN. Differential MVEP strength across Regulated Collateral Circuit, Multi-Issuer Yield Stack, and Tokenized Equity Rails;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SSRN. Cross-product framework for major dollar-denominated digital products; CLII / MVEP decoupling; stress propagation through dependency chains (SVB, Circle pool, Paxos).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Spacescope, Blockscout, Token Terminal, SEC filing monitoring</w:t>
      </w:r>
    </w:p>
    <w:p>
      <w:pPr>
        <w:spacing w:after="22" w:before="60"/>
      </w:pPr>
      <w:r>
        <w:rPr>
          <w:b/>
        </w:rPr>
        <w:t>Stack:</w:t>
      </w:r>
      <w:r>
        <w:t xml:space="preserve"> 14 custom Python MCP servers spanning FRED (macro data), DefiLlama / CoinGecko / Artemis (stablecoin and DeFi), Helius (Solana), Etherscan / Blockscout (EVM chains), rated.network / Beaconcha.in (validator data), Tally (DAO governance), Dune Analytics, Spacescope, Nansen (wallet flows), GitHub (specs and code); Python (pandas, statsmodels, scipy, matplotlib), SQL (DuneSQL, Trino), JavaScript / TypeScript; Claude Code, Cursor,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(2024)</w:t>
      </w:r>
    </w:p>
    <w:p>
      <w:pPr>
        <w:spacing w:after="36" w:before="60"/>
        <w:ind w:left="320" w:hanging="160"/>
      </w:pPr>
      <w:r>
        <w:t>• ETHDenver pitch judge</w:t>
      </w:r>
    </w:p>
    <w:p>
      <w:pPr>
        <w:spacing w:after="36" w:before="60"/>
        <w:ind w:left="320" w:hanging="160"/>
      </w:pPr>
      <w:r>
        <w:t xml:space="preserve">• </w:t>
      </w:r>
      <w:hyperlink r:id="rId17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 w:before="6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Investment Club President |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letters/occ-mvep-v4/" TargetMode="External"/><Relationship Id="rId7" Type="http://schemas.openxmlformats.org/officeDocument/2006/relationships/hyperlink" Target="https://tokenization.systems/letters/occ-supplemental/" TargetMode="External"/><Relationship Id="rId8" Type="http://schemas.openxmlformats.org/officeDocument/2006/relationships/hyperlink" Target="https://tokenization.systems/letters/treasury-genius-state-similarity/" TargetMode="External"/><Relationship Id="rId10" Type="http://schemas.openxmlformats.org/officeDocument/2006/relationships/hyperlink" Target="https://tokenization.systems/letters/fdic-ag19-ppsi-activities/" TargetMode="External"/><Relationship Id="rId11" Type="http://schemas.openxmlformats.org/officeDocument/2006/relationships/hyperlink" Target="https://tokenization.systems/letters/fdic-ag20-ppsi-application/" TargetMode="External"/><Relationship Id="rId12" Type="http://schemas.openxmlformats.org/officeDocument/2006/relationships/hyperlink" Target="https://tokenization.systems/letters/fincen-aml-cft/" TargetMode="External"/><Relationship Id="rId13" Type="http://schemas.openxmlformats.org/officeDocument/2006/relationships/hyperlink" Target="https://tokenization.systems/letters/fincen-ofac-ppsi-sanctions/" TargetMode="External"/><Relationship Id="rId14" Type="http://schemas.openxmlformats.org/officeDocument/2006/relationships/hyperlink" Target="https://tokenization.systems/letters/banking-agencies-joint-aml/" TargetMode="External"/><Relationship Id="rId15" Type="http://schemas.openxmlformats.org/officeDocument/2006/relationships/hyperlink" Target="https://tokenization.systems/papers/routing-the-dollar/" TargetMode="External"/><Relationship Id="rId16" Type="http://schemas.openxmlformats.org/officeDocument/2006/relationships/hyperlink" Target="https://tokenization.systems/papers/governance-concentration/" TargetMode="External"/><Relationship Id="rId17" Type="http://schemas.openxmlformats.org/officeDocument/2006/relationships/hyperlink" Target="https://medium.com/borderless-capital/introduction-to-tokenomics-c7af75c09bfe" TargetMode="External"/><Relationship Id="rId18" Type="http://schemas.openxmlformats.org/officeDocument/2006/relationships/hyperlink" Target="https://tokenization.systems/papers/operational-risk/" TargetMode="External"/><Relationship Id="rId19" Type="http://schemas.openxmlformats.org/officeDocument/2006/relationships/hyperlink" Target="https://tokenization.systems/papers/adaptive-tokenomics/" TargetMode="External"/><Relationship Id="rId20" Type="http://schemas.openxmlformats.org/officeDocument/2006/relationships/hyperlink" Target="https://tokenization.systems/papers/who-burns-the-tokens/" TargetMode="External"/><Relationship Id="rId21" Type="http://schemas.openxmlformats.org/officeDocument/2006/relationships/hyperlink" Target="https://tokenization.systems/papers/mvep/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