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60"/>
        <w:jc w:val="center"/>
      </w:pPr>
      <w:r>
        <w:rPr>
          <w:rFonts w:ascii="Arial" w:cs="Arial" w:eastAsia="Arial" w:hAnsi="Arial"/>
          <w:b/>
          <w:bCs/>
          <w:color w:val="1A1A1A"/>
          <w:sz w:val="40"/>
          <w:szCs w:val="40"/>
        </w:rPr>
        <w:t xml:space="preserve">Zach Zukowski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Orlando, FL | Zach@Tokenization.Systems | 407-536-8625</w:t>
      </w:r>
    </w:p>
    <w:p>
      <w:pPr>
        <w:spacing w:after="55" w:before="60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SSRN</w:t>
        </w:r>
      </w:hyperlink>
    </w:p>
    <w:p>
      <w:pPr>
        <w:spacing w:after="15" w:before="60"/>
        <w:jc w:val="center"/>
      </w:pPr>
      <w:r>
        <w:rPr>
          <w:rFonts w:ascii="Arial" w:cs="Arial" w:eastAsia="Arial" w:hAnsi="Arial"/>
          <w:b/>
          <w:bCs/>
          <w:color w:val="1A1A1A"/>
          <w:sz w:val="23"/>
          <w:szCs w:val="23"/>
        </w:rPr>
        <w:t>TOKENIZED-PRODUCT INVESTMENT MANAGEMENT · DUE DILIGENCE · PORTFOLIO STRATEGY</w:t>
      </w:r>
    </w:p>
    <w:p>
      <w:pPr>
        <w:spacing w:after="10" w:before="60"/>
        <w:jc w:val="center"/>
      </w:pPr>
      <w:r>
        <w:rPr>
          <w:rFonts w:ascii="Arial" w:cs="Arial" w:eastAsia="Arial" w:hAnsi="Arial"/>
          <w:i/>
          <w:color w:val="444444"/>
          <w:sz w:val="18"/>
          <w:szCs w:val="19"/>
        </w:rPr>
        <w:t>~$500M AUM · 250 investments (~25% deployment rate) · 1,000+ deals evaluated · LayerZero seed (~80x) · 8 SSRN papers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SUMMARY</w:t>
      </w:r>
    </w:p>
    <w:p>
      <w:pPr>
        <w:spacing w:after="38" w:before="60"/>
      </w:pPr>
      <w:r>
        <w:rPr>
          <w:rFonts w:ascii="Arial" w:cs="Arial" w:eastAsia="Arial" w:hAnsi="Arial"/>
          <w:color w:val="1A1A1A"/>
          <w:sz w:val="19"/>
          <w:szCs w:val="19"/>
        </w:rPr>
        <w:t>Tokenization-focused investment management strategist. Founding research hire at Borderless Capital (RIA, Dec 2019 to Feb 2026): sourced the LayerZero seed round (~80x return; thesis preceded the firm's Cross-Chain Ecosystem Fund by two years); led 1,000+ deal pre-seed-to-Series-C funnel; shipped 250 portfolio investments at ~25% deployment rate and ~$500M AUM. Predicted Thorchain's $200M insolvency 13 months in advance via 10-step scenario modeling (Dec 2023 internal memo; failure materialized in Jan 2025), underwriting the firm's no-exposure position. Now founder of Tokenization Systems (Feb 2026 to present), publishing institutional diligence frameworks: Minimum Viable Equivalence Pack (MVEP) for tokenized money-market funds, deposit tokens, payment stablecoins, and yield wrappers; Control Layer Intensity Index (CLII) for stablecoin gateway concentration. Authored eight SSRN papers and contributed eight federal regulatory comment letters across stablecoin and banking dockets.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EXPERIENCE</w:t>
      </w:r>
    </w:p>
    <w:p>
      <w:pPr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– Present</w:t>
      </w:r>
    </w:p>
    <w:p>
      <w:pPr>
        <w:spacing w:after="36" w:before="60"/>
        <w:ind w:left="320" w:hanging="160"/>
      </w:pPr>
      <w:r>
        <w:t xml:space="preserve">• Authored an eight-paper SSRN-live research program covering the </w:t>
      </w:r>
      <w:r>
        <w:rPr>
          <w:b/>
        </w:rPr>
        <w:t>Control Layer Intensity Index</w:t>
      </w:r>
      <w:r>
        <w:t xml:space="preserve"> (CLII) for gateway concentration, the </w:t>
      </w:r>
      <w:r>
        <w:rPr>
          <w:b/>
        </w:rPr>
        <w:t>Minimum Viable Equivalence Pack</w:t>
      </w:r>
      <w:r>
        <w:t xml:space="preserve"> (MVEP) for institutional tokenization diligence, programmable monetary-policy design (Adaptive Tokenomics), governance concentration, and operational risk in token economies.</w:t>
      </w:r>
    </w:p>
    <w:p>
      <w:pPr>
        <w:spacing w:after="36" w:before="60"/>
        <w:ind w:left="320" w:hanging="160"/>
      </w:pPr>
      <w:r>
        <w:t xml:space="preserve">• Contributed eight comment letters across a federal regulatory program (OCC bank stablecoin engagement </w:t>
      </w:r>
      <w:hyperlink r:id="rId6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7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8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0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1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2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3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4">
        <w:r>
          <w:rPr>
            <w:rStyle w:val="Hyperlink"/>
          </w:rPr>
          <w:t xml:space="preserve">91 FR 18304</w:t>
        </w:r>
      </w:hyperlink>
      <w:r>
        <w:t xml:space="preserve">); </w:t>
      </w:r>
      <w:hyperlink r:id="rId15">
        <w:r>
          <w:rPr>
            <w:rStyle w:val="Hyperlink"/>
          </w:rPr>
          <w:t xml:space="preserve">Routing the Dollar</w:t>
        </w:r>
      </w:hyperlink>
      <w:r>
        <w:t xml:space="preserve"> submitted to the Federal Reserve Fifth Conference on the Dollar's International Roles (Jun 2026); </w:t>
      </w:r>
      <w:hyperlink r:id="rId16">
        <w:r>
          <w:rPr>
            <w:rStyle w:val="Hyperlink"/>
          </w:rPr>
          <w:t xml:space="preserve">Governance Concentration</w:t>
        </w:r>
      </w:hyperlink>
      <w:r>
        <w:t xml:space="preserve"> in peer review at Frontiers in Blockchain.</w:t>
      </w:r>
    </w:p>
    <w:p>
      <w:pPr>
        <w:spacing w:after="36" w:before="60"/>
        <w:ind w:left="320" w:hanging="160"/>
      </w:pPr>
      <w:r>
        <w:t>• Capital-markets infrastructure dialogues with Circle and Ubyx on stablecoin and deposit-token deployment.</w:t>
      </w:r>
    </w:p>
    <w:p>
      <w:pPr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– Feb 2026</w:t>
      </w:r>
    </w:p>
    <w:p>
      <w:pPr>
        <w:spacing w:after="36" w:before="60"/>
        <w:ind w:left="320" w:hanging="160"/>
      </w:pPr>
      <w:r>
        <w:t xml:space="preserve">• Sourced the </w:t>
      </w:r>
      <w:r>
        <w:rPr>
          <w:b/>
        </w:rPr>
        <w:t>LayerZero seed round</w:t>
      </w:r>
      <w:r>
        <w:t xml:space="preserve"> investment for Borderless, returning ~80x; the underlying cross-chain interoperability thesis preceded the firm's Cross-Chain Ecosystem Fund by two years.</w:t>
      </w:r>
    </w:p>
    <w:p>
      <w:pPr>
        <w:spacing w:after="36" w:before="60"/>
        <w:ind w:left="320" w:hanging="160"/>
      </w:pPr>
      <w:r>
        <w:t>• Led discovery and diligence across a 1,000+ deal investment funnel (pre-seed to Series C); shipped 250 portfolio investments at ~25% deployment rate across ~10 institutional funds (~$500M AUM), with build/partner/hold recommendations to committee.</w:t>
      </w:r>
    </w:p>
    <w:p>
      <w:pPr>
        <w:spacing w:after="36" w:before="60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; Borderless held no exposure when the predicted failure mode materialized.</w:t>
      </w:r>
    </w:p>
    <w:p>
      <w:pPr>
        <w:spacing w:after="36" w:before="60"/>
        <w:ind w:left="320" w:hanging="160"/>
      </w:pPr>
      <w:r>
        <w:t xml:space="preserve">• Advised 100 portfolio companies 1-on-1 on token mechanism design (stablecoin reserves, governance-token allocation and concentration, yield wrappers, burn/emission dynamics); standards captured in </w:t>
      </w:r>
      <w:hyperlink r:id="rId17">
        <w:r>
          <w:rPr>
            <w:rStyle w:val="Hyperlink"/>
            <w:b/>
          </w:rPr>
          <w:t xml:space="preserve">Introduction to Tokenomics</w:t>
        </w:r>
      </w:hyperlink>
      <w:r>
        <w:t>.</w:t>
      </w:r>
    </w:p>
    <w:p>
      <w:pPr>
        <w:spacing w:after="36" w:before="60"/>
        <w:ind w:left="320" w:hanging="160"/>
      </w:pPr>
      <w:r>
        <w:t>• Built quantitative token-economic models forecasting emissions, fee capture, subsidy-to-revenue trajectories, and governance concentration under wide scenario ranges; supply-equilibrium and slashing dynamics supporting Layer 1 mechanism-design advisory.</w:t>
      </w:r>
    </w:p>
    <w:p>
      <w:pPr>
        <w:spacing w:after="36" w:before="60"/>
        <w:ind w:left="320" w:hanging="160"/>
      </w:pPr>
      <w:r>
        <w:t>• Built automated SEC-filing and press-release monitoring for Digital Asset Treasury Stocks (DATs); analyzed ~75 tokenization offerings in 2025 and invested in 18; AI-assisted diligence workflows reducing subscription-document review from ~4 hours to ~1 hour per deal.</w:t>
      </w:r>
    </w:p>
    <w:p>
      <w:pPr>
        <w:spacing w:after="36" w:before="60"/>
        <w:ind w:left="320" w:hanging="160"/>
      </w:pPr>
      <w:r>
        <w:t>• Mapped jurisdictional tax / regulatory advantages of DAT structures over direct crypto holding: Japan's Metaplanet DAT cuts crypto capital-gains tax from up to 55% to 20% (equity rate, further reducible via Japan's IRA structure); Hong Kong's Southbound Connect could give mainland Chinese capital regulated access to crypto banned domestically.</w:t>
      </w:r>
    </w:p>
    <w:p>
      <w:pPr>
        <w:spacing w:after="36" w:before="60"/>
        <w:ind w:left="320" w:hanging="160"/>
      </w:pPr>
      <w:r>
        <w:t>• Built apples-to-apples Multiple on NAV (mNAV) methodology for Digital Asset Treasury Stocks (DATs) and shipped a daily mNAV dashboard sourcing SEC filings and press releases; standardized treatment of non-crypto assets in the numerator across issuers (issuer-reported mNAV figures use inconsistent conventions that undermine cross-DAT comparison).</w:t>
      </w:r>
    </w:p>
    <w:p>
      <w:pPr>
        <w:spacing w:after="36" w:before="60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 / Compliance.</w:t>
      </w:r>
    </w:p>
    <w:p>
      <w:pPr>
        <w:pageBreakBefore/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SELECTED RESEARCH</w:t>
      </w:r>
    </w:p>
    <w:p>
      <w:pPr>
        <w:spacing w:after="28" w:before="60"/>
        <w:ind w:left="320" w:hanging="160"/>
      </w:pPr>
      <w:r>
        <w:t xml:space="preserve">• </w:t>
      </w:r>
      <w:hyperlink r:id="rId18">
        <w:r>
          <w:rPr>
            <w:rStyle w:val="Hyperlink"/>
            <w:b/>
          </w:rPr>
          <w:t xml:space="preserve">Minimum Viable Equivalence Pack.</w:t>
        </w:r>
      </w:hyperlink>
      <w:r>
        <w:t xml:space="preserve"> SSRN. Ten-category institutional diligence standard; finds bank-chartered stablecoin issuers face ~22x the regulatory capital requirements of money-transmitter-chartered issuers at $40B scale.</w:t>
      </w:r>
    </w:p>
    <w:p>
      <w:pPr>
        <w:spacing w:after="28" w:before="60"/>
        <w:ind w:left="320" w:hanging="160"/>
      </w:pPr>
      <w:r>
        <w:t xml:space="preserve">• </w:t>
      </w:r>
      <w:hyperlink r:id="rId19">
        <w:r>
          <w:rPr>
            <w:rStyle w:val="Hyperlink"/>
            <w:b/>
          </w:rPr>
          <w:t xml:space="preserve">Three Tokenization Strategies.</w:t>
        </w:r>
      </w:hyperlink>
      <w:r>
        <w:t xml:space="preserve"> SSRN. Differential MVEP strength across Regulated Collateral Circuit, Multi-Issuer Yield Stack, and Tokenized Equity Rails; Securitize as cross-strategy concentration risk.</w:t>
      </w:r>
    </w:p>
    <w:p>
      <w:pPr>
        <w:spacing w:after="28" w:before="60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Seven Dollars.</w:t>
        </w:r>
      </w:hyperlink>
      <w:r>
        <w:t xml:space="preserve"> SSRN. Cross-product framework for major dollar-denominated digital products; CLII / MVEP decoupling; stress propagation through dependency chains (SVB, Circle pool, Paxos).</w:t>
      </w:r>
    </w:p>
    <w:p>
      <w:pPr>
        <w:spacing w:after="28" w:before="60"/>
        <w:ind w:left="320" w:hanging="160"/>
      </w:pPr>
      <w:r>
        <w:t xml:space="preserve">• </w:t>
      </w:r>
      <w:hyperlink r:id="rId15">
        <w:r>
          <w:rPr>
            <w:rStyle w:val="Hyperlink"/>
            <w:b/>
          </w:rPr>
          <w:t xml:space="preserve">Routing the Dollar.</w:t>
        </w:r>
      </w:hyperlink>
      <w:r>
        <w:t xml:space="preserve"> SSRN; submitted to Federal Reserve / FRBNY Fifth Conference on the Dollar's International Roles (Jun 2026). Gateway concentration; CLII across 19 gateways including Visa Direct-adjacent paths.</w:t>
      </w:r>
    </w:p>
    <w:p>
      <w:pPr>
        <w:spacing w:after="28" w:before="60"/>
        <w:ind w:left="320" w:hanging="160"/>
      </w:pPr>
      <w:r>
        <w:t xml:space="preserve">• </w:t>
      </w:r>
      <w:hyperlink r:id="rId21">
        <w:r>
          <w:rPr>
            <w:rStyle w:val="Hyperlink"/>
            <w:b/>
          </w:rPr>
          <w:t xml:space="preserve">Adaptive Tokenomics.</w:t>
        </w:r>
      </w:hyperlink>
      <w:r>
        <w:t xml:space="preserve"> SSRN. Industrial control engineering (PID controller) applied to token-supply emission as programmable monetary-policy mechanism; 240-scenario Monte Carlo simulation; cuts worst-case supply volatility ~6x under competitor-shock attack.</w:t>
      </w:r>
    </w:p>
    <w:p>
      <w:pPr>
        <w:spacing w:after="28" w:before="60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Operational Risk in Token Economies.</w:t>
        </w:r>
      </w:hyperlink>
      <w:r>
        <w:t xml:space="preserve"> SSRN. Operational-risk taxonomy (74 risk vectors, 64 testable controls, 31 program objectives) mapped to a 624-scenario battery; Lido V3 staking-vault case study.</w:t>
      </w:r>
    </w:p>
    <w:p>
      <w:pPr>
        <w:spacing w:after="28" w:before="60"/>
        <w:ind w:left="320" w:hanging="160"/>
      </w:pPr>
      <w:r>
        <w:t xml:space="preserve">• </w:t>
      </w:r>
      <w:hyperlink r:id="rId16">
        <w:r>
          <w:rPr>
            <w:rStyle w:val="Hyperlink"/>
            <w:b/>
          </w:rPr>
          <w:t xml:space="preserve">Governance Concentration Beyond Token Allocation.</w:t>
        </w:r>
      </w:hyperlink>
      <w:r>
        <w:t xml:space="preserve"> SSRN; in peer review at Frontiers in Blockchain. 37-protocol multivariate analysis: initial token allocation does not predict governance concentration; protocol sector does (DePIN protocols are significantly more concentrated than DeFi; large effect size).</w:t>
      </w:r>
    </w:p>
    <w:p>
      <w:pPr>
        <w:spacing w:after="28" w:before="60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Who Burns the Tokens?</w:t>
        </w:r>
      </w:hyperlink>
      <w:r>
        <w:t xml:space="preserve"> SSRN. Burn-mechanism design (not network size) drives demand concentration; coalition-power analysis extends standard concentration measures for single-address risk.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TECHNICAL</w:t>
      </w:r>
    </w:p>
    <w:p>
      <w:pPr>
        <w:spacing w:after="22" w:before="60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 w:before="60"/>
      </w:pPr>
      <w:r>
        <w:rPr>
          <w:b/>
        </w:rPr>
        <w:t>Data:</w:t>
      </w:r>
      <w:r>
        <w:t xml:space="preserve"> Dune Analytics, Nansen Pro, Artemis, DefiLlama, CoinGecko, Helius (Solana), Spacescope, Blockscout, Token Terminal, SEC filing monitoring</w:t>
      </w:r>
    </w:p>
    <w:p>
      <w:pPr>
        <w:spacing w:after="22" w:before="60"/>
      </w:pPr>
      <w:r>
        <w:rPr>
          <w:b/>
        </w:rPr>
        <w:t>Stack:</w:t>
      </w:r>
      <w:r>
        <w:t xml:space="preserve"> Python (pandas, statsmodels, scipy, matplotlib), SQL (DuneSQL, Trino), JavaScript / TypeScript; 14 custom Python MCP servers for real-time data feeds,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>RECOGNITION</w:t>
      </w:r>
    </w:p>
    <w:p>
      <w:pPr>
        <w:spacing w:after="38" w:before="60"/>
      </w:pPr>
      <w:r>
        <w:t>• Uniswap Foundation governance committee (2024)</w:t>
      </w:r>
    </w:p>
    <w:p>
      <w:pPr>
        <w:spacing w:after="38" w:before="60"/>
      </w:pPr>
      <w:r>
        <w:t>• ETHDenver pitch judge</w:t>
      </w:r>
    </w:p>
    <w:p>
      <w:pPr>
        <w:spacing w:after="38" w:before="60"/>
      </w:pPr>
      <w:r>
        <w:t xml:space="preserve">• </w:t>
      </w:r>
      <w:hyperlink r:id="rId17">
        <w:r>
          <w:rPr>
            <w:rStyle w:val="Hyperlink"/>
            <w:b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EDUCATION</w:t>
      </w:r>
    </w:p>
    <w:p>
      <w:pPr>
        <w:tabs>
          <w:tab w:val="right" w:pos="10320"/>
        </w:tabs>
        <w:spacing w:after="0" w:before="6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High Point University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| B.S.B.A., Business Administration (Magna Cum Laude)</w:t>
      </w:r>
      <w:r>
        <w:rPr>
          <w:rFonts w:ascii="Arial" w:cs="Arial" w:eastAsia="Arial" w:hAnsi="Arial"/>
          <w:sz w:val="19"/>
          <w:szCs w:val="19"/>
        </w:rPr>
        <w:t xml:space="preserve">	</w:t>
      </w: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2018</w:t>
      </w:r>
    </w:p>
    <w:p>
      <w:pPr>
        <w:spacing w:after="0" w:before="60"/>
      </w:pPr>
      <w:r>
        <w:rPr>
          <w:rFonts w:ascii="Arial" w:cs="Arial" w:eastAsia="Arial" w:hAnsi="Arial"/>
          <w:color w:val="444444"/>
          <w:sz w:val="18"/>
          <w:szCs w:val="18"/>
        </w:rPr>
        <w:t xml:space="preserve">Investment Club President | Lingnan University, Hong Kong (Exchange)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7810362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letters/occ-mvep-v4/" TargetMode="External"/><Relationship Id="rId7" Type="http://schemas.openxmlformats.org/officeDocument/2006/relationships/hyperlink" Target="https://tokenization.systems/letters/occ-supplemental/" TargetMode="External"/><Relationship Id="rId8" Type="http://schemas.openxmlformats.org/officeDocument/2006/relationships/hyperlink" Target="https://tokenization.systems/letters/treasury-genius-state-similarity/" TargetMode="External"/><Relationship Id="rId10" Type="http://schemas.openxmlformats.org/officeDocument/2006/relationships/hyperlink" Target="https://tokenization.systems/letters/fdic-ag19-ppsi-activities/" TargetMode="External"/><Relationship Id="rId11" Type="http://schemas.openxmlformats.org/officeDocument/2006/relationships/hyperlink" Target="https://tokenization.systems/letters/fdic-ag20-ppsi-application/" TargetMode="External"/><Relationship Id="rId12" Type="http://schemas.openxmlformats.org/officeDocument/2006/relationships/hyperlink" Target="https://tokenization.systems/letters/fincen-aml-cft/" TargetMode="External"/><Relationship Id="rId13" Type="http://schemas.openxmlformats.org/officeDocument/2006/relationships/hyperlink" Target="https://tokenization.systems/letters/fincen-ofac-ppsi-sanctions/" TargetMode="External"/><Relationship Id="rId14" Type="http://schemas.openxmlformats.org/officeDocument/2006/relationships/hyperlink" Target="https://tokenization.systems/letters/banking-agencies-joint-aml/" TargetMode="External"/><Relationship Id="rId15" Type="http://schemas.openxmlformats.org/officeDocument/2006/relationships/hyperlink" Target="https://tokenization.systems/papers/routing-the-dollar/" TargetMode="External"/><Relationship Id="rId16" Type="http://schemas.openxmlformats.org/officeDocument/2006/relationships/hyperlink" Target="https://tokenization.systems/papers/governance-concentration/" TargetMode="External"/><Relationship Id="rId17" Type="http://schemas.openxmlformats.org/officeDocument/2006/relationships/hyperlink" Target="https://medium.com/borderless-capital/introduction-to-tokenomics-c7af75c09bfe" TargetMode="External"/><Relationship Id="rId18" Type="http://schemas.openxmlformats.org/officeDocument/2006/relationships/hyperlink" Target="https://tokenization.systems/papers/mvep/" TargetMode="External"/><Relationship Id="rId19" Type="http://schemas.openxmlformats.org/officeDocument/2006/relationships/hyperlink" Target="https://tokenization.systems/papers/three-strategies/" TargetMode="External"/><Relationship Id="rId20" Type="http://schemas.openxmlformats.org/officeDocument/2006/relationships/hyperlink" Target="https://tokenization.systems/papers/seven-dollars/" TargetMode="External"/><Relationship Id="rId21" Type="http://schemas.openxmlformats.org/officeDocument/2006/relationships/hyperlink" Target="https://tokenization.systems/papers/adaptive-tokenomics/" TargetMode="External"/><Relationship Id="rId22" Type="http://schemas.openxmlformats.org/officeDocument/2006/relationships/hyperlink" Target="https://tokenization.systems/papers/operational-risk/" TargetMode="External"/><Relationship Id="rId23" Type="http://schemas.openxmlformats.org/officeDocument/2006/relationships/hyperlink" Target="https://tokenization.systems/papers/who-burns-the-tokens/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