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TOKENIZATION RESEARCH · INVESTMENT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i/>
          <w:color w:val="444444"/>
          <w:sz w:val="18"/>
          <w:szCs w:val="19"/>
        </w:rPr>
        <w:t>LayerZero seed (~80x) · 250 investments · ~$500M AUM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product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Capital-markets infrastructure dialogues with Circle and Ubyx on stablecoin and deposit-token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(Adaptive Tokenomics),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top-50 Layer 1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concentration, yield wrappers, burn/emission dynamics); standards captured in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 / Compliance.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SSRN;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Three Tokenization Strategies.</w:t>
        </w:r>
      </w:hyperlink>
      <w:r>
        <w:t xml:space="preserve"> SSRN. Differential MVEP strength across Regulated Collateral Circuit, Multi-Issuer Yield Stack, and Tokenized Equity Rails;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Seven Dollars.</w:t>
        </w:r>
      </w:hyperlink>
      <w:r>
        <w:t xml:space="preserve"> SSRN.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Minimum Viable Equivalence Pack.</w:t>
        </w:r>
      </w:hyperlink>
      <w:r>
        <w:t xml:space="preserve"> SSRN.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Adaptive Tokenomics.</w:t>
        </w:r>
      </w:hyperlink>
      <w:r>
        <w:t xml:space="preserve"> SSRN.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SSRN.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SSRN; in peer review at Frontiers in Blockchain. 37-protocol multivariate analysis: initial token allocation does not predict governance concentration; protocol sector does (DePIN protocols are significantly more concentrated than DeFi; large effect size).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SSRN. Burn-mechanism design (not network size) drives demand concentration;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Terminal, SEC filing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SQL (DuneSQL, Trino), JavaScript / TypeScript; 14 custom Python MCP servers for real-time data feeds,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medium.com/borderless-capital/introduction-to-tokenomics-c7af75c09bfe" TargetMode="External"/><Relationship Id="rId18" Type="http://schemas.openxmlformats.org/officeDocument/2006/relationships/hyperlink" Target="https://tokenization.systems/papers/three-strategies/" TargetMode="External"/><Relationship Id="rId19" Type="http://schemas.openxmlformats.org/officeDocument/2006/relationships/hyperlink" Target="https://tokenization.systems/papers/seven-dollars/" TargetMode="External"/><Relationship Id="rId20" Type="http://schemas.openxmlformats.org/officeDocument/2006/relationships/hyperlink" Target="https://tokenization.systems/papers/mvep/" TargetMode="External"/><Relationship Id="rId21" Type="http://schemas.openxmlformats.org/officeDocument/2006/relationships/hyperlink" Target="https://tokenization.systems/papers/adaptive-tokenomics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