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POLICY · REGULATORY TRANSLATION · COMMENT LETTERS</w:t>
      </w:r>
    </w:p>
    <w:p>
      <w:pPr>
        <w:spacing w:after="10" w:before="60"/>
        <w:jc w:val="center"/>
      </w:pPr>
      <w:r>
        <w:rPr>
          <w:rFonts w:ascii="Arial" w:cs="Arial" w:eastAsia="Arial" w:hAnsi="Arial"/>
          <w:i/>
          <w:color w:val="444444"/>
          <w:sz w:val="18"/>
          <w:szCs w:val="19"/>
        </w:rPr>
        <w:t>8 federal comment letters · 8 SSRN papers · industry dialogues (Treasury, Nasdaq, NYSE, DTCC, Swift, JPM Kinexys, Securitize)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 policy strategist and regulatory translator. Authored eight federal regulatory comment letters in 2026 across OCC bank stablecoin engagement, Treasury GENIUS Act state similarity, FDIC payment-stablecoin reserve standards and subsidiary-issuance approvals, FinCEN AML/CFT and PPSI sanctions, and joint banking AML/CFT. Founding research hire at Borderless Capital (RIA, Dec 2019 to Feb 2026), translating GENIUS, CLARITY, Singapore MAS, MiCA, and state money-transmitter / trust-charter regimes into product, reserve, routing, and compliance decisions across U.S., Singapore, Cayman / BVI / Bermuda, and EU. Engaged in working-level dialogues on stablecoin and tokenization deployment with major capital-markets infrastructure (Nasdaq, NYSE, DTCC, Swift), tokenization platforms (Securitize, JPM Kinexys), and U.S. Treasury (national security research). Now founder of Tokenization Systems (Feb 2026 to present); published the MVEP institutional diligence framework and CLII gateway concentration index. Predicted Thorchain's $200M insolvency 13 months ahead; sourced the LayerZero seed (~80x) at Borderless.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r>
        <w:rPr>
          <w:b/>
        </w:rPr>
        <w:t>Control Layer Intensity Index</w:t>
      </w:r>
      <w:r>
        <w:t xml:space="preserve"> (CLII) for gateway concentration, the </w:t>
      </w:r>
      <w:r>
        <w:rPr>
          <w:b/>
        </w:rPr>
        <w:t>Minimum Viable Equivalence Pack</w:t>
      </w:r>
      <w:r>
        <w:t xml:space="preserve"> (MVEP) for institutional tokenization diligence, programmable monetary-policy design (Adaptive Tokenomics), governance concentration, and operational risk in token economies.</w:t>
      </w:r>
    </w:p>
    <w:p>
      <w:pPr>
        <w:spacing w:after="36" w:before="60"/>
        <w:ind w:left="320" w:hanging="160"/>
      </w:pPr>
      <w:r>
        <w:t>• Capital-markets infrastructure dialogues with Circle and Ubyx on stablecoin and deposit-token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 / Compliance.</w:t>
      </w:r>
    </w:p>
    <w:p>
      <w:pPr>
        <w:spacing w:after="36" w:before="60"/>
        <w:ind w:left="320" w:hanging="160"/>
      </w:pPr>
      <w:r>
        <w:t>• Engaged in working-level dialogues with major capital-markets infrastructure (Nasdaq, NYSE, DTCC, Swift), tokenization platforms (Securitize, JPM Kinexys), and U.S. Treasury (national-security research staff) on stablecoin and tokenization deployment paths.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concentration, yield wrappers, burn/emission dynamics); standards captured in </w:t>
      </w:r>
      <w:hyperlink r:id="rId17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Minimum Viable Equivalence Pack.</w:t>
        </w:r>
      </w:hyperlink>
      <w:r>
        <w:t xml:space="preserve"> SSRN.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SSRN;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Seven Dollars.</w:t>
        </w:r>
      </w:hyperlink>
      <w:r>
        <w:t xml:space="preserve"> SSRN.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Three Tokenization Strategies.</w:t>
        </w:r>
      </w:hyperlink>
      <w:r>
        <w:t xml:space="preserve"> SSRN. Differential MVEP strength across Regulated Collateral Circuit, Multi-Issuer Yield Stack, and Tokenized Equity Rails;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Operational Risk in Token Economies.</w:t>
        </w:r>
      </w:hyperlink>
      <w:r>
        <w:t xml:space="preserve"> SSRN.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Adaptive Tokenomics.</w:t>
        </w:r>
      </w:hyperlink>
      <w:r>
        <w:t xml:space="preserve"> SSRN.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SSRN; in peer review at Frontiers in Blockchain. 37-protocol multivariate analysis: initial token allocation does not predict governance concentration; protocol sector does (DePIN protocols are significantly more concentrated than DeFi; large effect size).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SSRN. Burn-mechanism design (not network size) drives demand concentration;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Spacescope, Blockscout, Token Terminal, SEC filing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SQL (DuneSQL, Trino), JavaScript / TypeScript; 14 custom Python MCP servers for real-time data feeds,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(2024)</w:t>
      </w:r>
    </w:p>
    <w:p>
      <w:pPr>
        <w:spacing w:after="38" w:before="60"/>
      </w:pPr>
      <w:r>
        <w:t>• ETHDenver pitch judge</w:t>
      </w:r>
    </w:p>
    <w:p>
      <w:pPr>
        <w:spacing w:after="38" w:before="60"/>
      </w:pPr>
      <w:r>
        <w:t xml:space="preserve">• </w:t>
      </w:r>
      <w:hyperlink r:id="rId17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Investment Club President |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medium.com/borderless-capital/introduction-to-tokenomics-c7af75c09bfe" TargetMode="External"/><Relationship Id="rId18" Type="http://schemas.openxmlformats.org/officeDocument/2006/relationships/hyperlink" Target="https://tokenization.systems/papers/mvep/" TargetMode="External"/><Relationship Id="rId19" Type="http://schemas.openxmlformats.org/officeDocument/2006/relationships/hyperlink" Target="https://tokenization.systems/papers/seven-dollars/" TargetMode="External"/><Relationship Id="rId20" Type="http://schemas.openxmlformats.org/officeDocument/2006/relationships/hyperlink" Target="https://tokenization.systems/papers/three-strategies/" TargetMode="External"/><Relationship Id="rId21" Type="http://schemas.openxmlformats.org/officeDocument/2006/relationships/hyperlink" Target="https://tokenization.systems/papers/operational-risk/" TargetMode="External"/><Relationship Id="rId22" Type="http://schemas.openxmlformats.org/officeDocument/2006/relationships/hyperlink" Target="https://tokenization.systems/papers/adaptive-tokenomics/" TargetMode="External"/><Relationship Id="rId23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