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OPERATIONAL RISK · SCENARIO MODELING · TOKEN-ECONOMIC MODELING</w:t>
      </w:r>
    </w:p>
    <w:p>
      <w:pPr>
        <w:spacing w:after="10" w:before="60"/>
        <w:jc w:val="center"/>
      </w:pPr>
      <w:r>
        <w:rPr>
          <w:rFonts w:ascii="Arial" w:cs="Arial" w:eastAsia="Arial" w:hAnsi="Arial"/>
          <w:i/>
          <w:color w:val="444444"/>
          <w:sz w:val="18"/>
          <w:szCs w:val="19"/>
        </w:rPr>
        <w:t>74⁠-⁠vector risk taxonomy · 240⁠-⁠scenario Monte Carlo · 8 SSRN papers · ~$500M AUM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Operational risk and scenario-modeling strategist. In Dec 2023 authored a 10-step scenario-modeling memo predicting Thorchain's eventual $200M insolvency in a protocol whose token had peaked at $3.3B market cap; predicted failure mode materialized in Jan 2025 (13 months later); the firm held no exposure. Founding research hire at Borderless Capital (RIA, Dec 2019 to Feb 2026); built quantitative token-economic models forecasting emissions, fee capture, subsidy-to-revenue trajectories, and governance concentration under wide scenario ranges. Now founder of Tokenization Systems (Feb 2026 to present); published Operational Risk in Token Economies (74-vector taxonomy mapped to 64 testable controls and 31 program objectives across a 624-scenario simulation battery; Lido V3 staking-vault production case study) and Adaptive Tokenomics (industrial-control-engineering PID controller; 240-scenario Monte Carlo; ~6x worst-case supply-volatility compression under competitor-shock attack). Contributed eight federal regulatory comment letters across stablecoin and banking dockets.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–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r>
        <w:rPr>
          <w:b/>
        </w:rPr>
        <w:t>Control Layer Intensity Index</w:t>
      </w:r>
      <w:r>
        <w:t xml:space="preserve"> (CLII) for gateway concentration, the </w:t>
      </w:r>
      <w:r>
        <w:rPr>
          <w:b/>
        </w:rPr>
        <w:t>Minimum Viable Equivalence Pack</w:t>
      </w:r>
      <w:r>
        <w:t xml:space="preserve"> (MVEP) for institutional tokenization diligence, programmable monetary-policy design (Adaptive Tokenomics), governance concentration, and operational risk in token economies.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submitted to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Capital-markets infrastructure dialogues with Circle and Ubyx on stablecoin and deposit-token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–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; Borderless held no exposure when the predicted failure mode materialized.</w:t>
      </w:r>
    </w:p>
    <w:p>
      <w:pPr>
        <w:spacing w:after="36" w:before="60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Prevented hostile governance capture on a top-50 Layer 1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7">
        <w:r>
          <w:rPr>
            <w:rStyle w:val="Hyperlink"/>
            <w:b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concentration, yield wrappers, burn/emission dynamics); standards captured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 / Compliance.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Operational Risk in Token Economies.</w:t>
        </w:r>
      </w:hyperlink>
      <w:r>
        <w:t xml:space="preserve"> SSRN.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SSRN. Industrial control engineering (PID controller) applied to token-supply emission as programmable monetary-policy mechanism; 240-scenario Monte Carlo simulation; cuts worst-case supply volatility ~6x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SSRN; submitted to Federal Reserve / FRBNY Fifth Conference on the Dollar's International Roles (Jun 2026). Gateway concentration; CLII across 19 gateways including Visa Direct-adjacent paths.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Minimum Viable Equivalence Pack.</w:t>
        </w:r>
      </w:hyperlink>
      <w:r>
        <w:t xml:space="preserve"> SSRN.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Three Tokenization Strategies.</w:t>
        </w:r>
      </w:hyperlink>
      <w:r>
        <w:t xml:space="preserve"> SSRN. Differential MVEP strength across Regulated Collateral Circuit, Multi-Issuer Yield Stack, and Tokenized Equity Rails;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SSRN.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SSRN; in peer review at Frontiers in Blockchain. 37-protocol multivariate analysis: initial token allocation does not predict governance concentration; protocol sector does (DePIN protocols are significantly more concentrated than DeFi; large effect size).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SSRN. Burn-mechanism design (not network size) drives demand concentration;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Spacescope, Blockscout, Token Terminal, SEC filing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SQL (DuneSQL, Trino), JavaScript / TypeScript; 14 custom Python MCP servers for real-time data feeds,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 w:before="6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operational-risk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mvep/" TargetMode="External"/><Relationship Id="rId21" Type="http://schemas.openxmlformats.org/officeDocument/2006/relationships/hyperlink" Target="https://tokenization.systems/papers/three-strategies/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who-burns-the-tokens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