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36"/>
          <w:szCs w:val="36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6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6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6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6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6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6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STABLECOIN POLICY · REGULATORY TRANSLATION · FEDERAL COMMENT LETTERS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4"/>
          <w:szCs w:val="16"/>
        </w:rPr>
        <w:t>· 12 federal comment letters · 8 SSRN papers · Dialogues across national security think tanks, securities exchanges, Central Securities Depositories, payments messaging, tier⁠-⁠1 banks, SEC⁠-⁠registered transfer agents · Patent⁠-⁠pending Canonical⁠-⁠State Architecture for multi⁠-⁠agent AI research (eight USPTO provisional applications, 2026)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40" w:before="60"/>
      </w:pPr>
      <w:r>
        <w:rPr>
          <w:rFonts w:ascii="Arial" w:cs="Arial" w:eastAsia="Arial" w:hAnsi="Arial"/>
          <w:color w:val="1A1A1A"/>
          <w:sz w:val="19"/>
          <w:szCs w:val="16"/>
        </w:rPr>
        <w:t>Stablecoin policy and regulatory-strategy lead who translates banking and payments rulemaking into reserve, routing, and compliance positions, from federal dockets to capital-markets infrastructure. Founder of Tokenization Systems; first hire at Borderless Capital, an RIA.</w:t>
      </w:r>
    </w:p>
    <w:p>
      <w:pPr>
        <w:spacing w:after="40" w:before="0"/>
      </w:pPr>
      <w:r>
        <w:rPr>
          <w:rFonts w:ascii="Arial" w:cs="Arial" w:eastAsia="Arial" w:hAnsi="Arial"/>
          <w:color w:val="1A1A1A"/>
          <w:sz w:val="19"/>
          <w:szCs w:val="16"/>
        </w:rPr>
        <w:t>Focus: stablecoin and payments policy, bank versus money-transmitter charter equivalence, reserve and AML/CFT standards, regulatory translation · OCC, FDIC, FinCEN, OFAC, Treasury GENIUS, CLARITY, MiCA, Singapore MAS.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 w:before="60"/>
        <w:ind w:left="320" w:hanging="160"/>
      </w:pPr>
      <w:r>
        <w:t xml:space="preserve">• Contributed twelve comment letters across a federal regulatory program (OCC bank stablecoin engagement </w:t>
      </w:r>
      <w:hyperlink r:id="rId6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7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8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0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1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2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3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4">
        <w:r>
          <w:rPr>
            <w:rStyle w:val="Hyperlink"/>
          </w:rPr>
          <w:t xml:space="preserve">91 FR 18304</w:t>
        </w:r>
      </w:hyperlink>
      <w:r>
        <w:t xml:space="preserve">).</w:t>
      </w:r>
    </w:p>
    <w:p>
      <w:pPr>
        <w:spacing w:after="36" w:before="60"/>
        <w:ind w:left="320" w:hanging="160"/>
      </w:pPr>
      <w:r>
        <w:t xml:space="preserve">• </w:t>
      </w:r>
      <w:hyperlink r:id="rId15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6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17">
        <w:r>
          <w:rPr>
            <w:rStyle w:val="Hyperlink"/>
          </w:rPr>
          <w:t xml:space="preserve">Control Layer Intensity Index</w:t>
        </w:r>
      </w:hyperlink>
      <w:r>
        <w:t xml:space="preserve"> (CLII) for gateway concentration, the </w:t>
      </w:r>
      <w:hyperlink r:id="rId18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19">
        <w:r>
          <w:rPr>
            <w:rStyle w:val="Hyperlink"/>
          </w:rPr>
          <w:t xml:space="preserve">Adaptive Tokenomics</w:t>
        </w:r>
      </w:hyperlink>
      <w:r>
        <w:t xml:space="preserve">), </w:t>
      </w:r>
      <w:hyperlink r:id="rId16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20">
        <w:r>
          <w:rPr>
            <w:rStyle w:val="Hyperlink"/>
          </w:rPr>
          <w:t xml:space="preserve">operational risk in token economies</w:t>
        </w:r>
      </w:hyperlink>
      <w:r>
        <w:t xml:space="preserve">. Three additional papers in development (B5 Bankruptcy-Priority Misaligned Incentives, A7 Control Layer Theory, SVB Reserve Concentration); methodology paper in preparation.</w:t>
      </w:r>
    </w:p>
    <w:p>
      <w:pPr>
        <w:spacing w:after="36" w:before="60"/>
        <w:ind w:left="320" w:hanging="160"/>
      </w:pPr>
      <w:r>
        <w:t>• Working dialogue with capital-markets infrastructure operators on stablecoin, deposit-token, tokenized-deposit,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spacing w:after="20" w:before="80"/>
        <w:ind w:left="0" w:firstLine="0"/>
      </w:pPr>
      <w:r>
        <w:rPr>
          <w:b/>
          <w:i/>
        </w:rPr>
        <w:t>Regulatory Engagement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 w:before="60"/>
        <w:ind w:left="320" w:hanging="160"/>
      </w:pPr>
      <w:r>
        <w:t>• Engaged in working-level dialogues on stablecoin and tokenization deployment across U.S. national-security research, major securities exchanges, central securities depositories, global payments messaging infrastructure, tier-1 bank tokenization platforms, and SEC-registered transfer agents.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spacing w:after="20" w:before="80"/>
        <w:ind w:left="0" w:firstLine="0"/>
      </w:pPr>
      <w:r>
        <w:rPr>
          <w:b/>
          <w:i/>
        </w:rPr>
        <w:t>Market-Structure Diligence</w:t>
      </w:r>
    </w:p>
    <w:p>
      <w:pPr>
        <w:spacing w:after="36" w:before="60"/>
        <w:ind w:left="320" w:hanging="160"/>
      </w:pPr>
      <w:r>
        <w:t xml:space="preserve"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 w:before="60"/>
        <w:ind w:left="320" w:hanging="160"/>
      </w:pPr>
      <w:r>
        <w:t xml:space="preserve"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 w:before="60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spacing w:after="20" w:before="80"/>
        <w:ind w:left="0" w:firstLine="0"/>
      </w:pPr>
      <w:r>
        <w:rPr>
          <w:b/>
          <w:i/>
        </w:rPr>
        <w:t>Capital Deployment</w:t>
      </w:r>
    </w:p>
    <w:p>
      <w:pPr>
        <w:spacing w:after="36" w:before="60"/>
        <w:ind w:left="320" w:hanging="160"/>
      </w:pPr>
      <w:r>
        <w:t>• Led discovery and diligence across a 1,000+ deal investment funnel (pre-seed to Series C); shipped 250 portfolio investments at ~25% deployment rate across ~10 institutional funds (~$500M AUM), with build/partner/hold recommendations to committee.</w:t>
      </w:r>
    </w:p>
    <w:p>
      <w:pPr>
        <w:spacing w:after="36" w:before="60"/>
        <w:ind w:left="320" w:hanging="160"/>
      </w:pPr>
      <w:r>
        <w:t>• Built automated SEC-filing and press-release monitoring for Digital Asset Treasury Stocks (DATs); analyzed ~75 tokenization offerings in 2025 and invested in 18; built AI tool that cut subscription review from 4hr to 1hr per deal.</w:t>
      </w:r>
    </w:p>
    <w:p>
      <w:pPr>
        <w:spacing w:after="20" w:before="80"/>
        <w:ind w:left="0" w:firstLine="0"/>
      </w:pPr>
      <w:r>
        <w:rPr>
          <w:b/>
          <w:i/>
        </w:rPr>
        <w:t>Advisory &amp; Education</w:t>
      </w:r>
    </w:p>
    <w:p>
      <w:pPr>
        <w:spacing w:after="36" w:before="60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Built the firm's research function from scratch; led a four-analyst team and personally produced ~25 of its ~125 long-form publications annually; taught 100 teams across nine accelerator programs (2021 to 2025).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18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scale.</w:t>
      </w:r>
    </w:p>
    <w:p>
      <w:pPr>
        <w:spacing w:after="28" w:before="60"/>
        <w:ind w:left="320" w:hanging="160"/>
      </w:pPr>
      <w:r>
        <w:t xml:space="preserve">• </w:t>
      </w:r>
      <w:hyperlink r:id="rId15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 and how dollars move across them;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</w:t>
      </w:r>
      <w:hyperlink r:id="rId30" w:history="1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19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 controller) applied to token-supply emission as programmable monetary-policy mechanism; 240-scenario Monte Carlo simulation; PID emission control cuts worst-case node-count variance from CV 0.544 (static emission) to 0.087 (PID), functioning as downside insurance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16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In peer review at Frontiers in Blockchain.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 w:before="60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8" w:before="60"/>
      </w:pPr>
      <w:r>
        <w:t>• Uniswap Foundation governance committee (2025)</w:t>
      </w:r>
    </w:p>
    <w:p>
      <w:pPr>
        <w:spacing w:after="38" w:before="60"/>
      </w:pPr>
      <w:r>
        <w:t>• ETHDenver pitch judge (2025)</w:t>
      </w:r>
    </w:p>
    <w:p>
      <w:pPr>
        <w:spacing w:after="38" w:before="60"/>
      </w:pPr>
      <w:r>
        <w:t xml:space="preserve">• </w:t>
      </w:r>
      <w:hyperlink r:id="rId21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FRAMEWORKS AUTHORED</w:t>
      </w:r>
    </w:p>
    <w:p>
      <w:pPr>
        <w:spacing w:after="38" w:before="60"/>
      </w:pPr>
      <w:r>
        <w:t xml:space="preserve">• Control Layer Intensity Index (</w:t>
      </w:r>
      <w:hyperlink r:id="rId25" w:history="1">
        <w:r>
          <w:rPr>
            <w:rStyle w:val="Hyperlink"/>
          </w:rPr>
          <w:t xml:space="preserve">CLII</w:t>
        </w:r>
      </w:hyperlink>
      <w:r>
        <w:t xml:space="preserve">), Minimum Viable Equivalence Pack (</w:t>
      </w:r>
      <w:hyperlink r:id="rId26" w:history="1">
        <w:r>
          <w:rPr>
            <w:rStyle w:val="Hyperlink"/>
          </w:rPr>
          <w:t xml:space="preserve">MVEP</w:t>
        </w:r>
      </w:hyperlink>
      <w:r>
        <w:t xml:space="preserve">), MVEP-gated Conditional Pass-Through (</w:t>
      </w:r>
      <w:hyperlink r:id="rId27" w:history="1">
        <w:r>
          <w:rPr>
            <w:rStyle w:val="Hyperlink"/>
          </w:rPr>
          <w:t xml:space="preserve">MGCPT</w:t>
        </w:r>
      </w:hyperlink>
      <w:r>
        <w:t xml:space="preserve">; </w:t>
      </w:r>
      <w:hyperlink r:id="rId28" w:history="1">
        <w:r>
          <w:rPr>
            <w:rStyle w:val="Hyperlink"/>
          </w:rPr>
          <w:t xml:space="preserve">AG19 Rec 7</w:t>
        </w:r>
      </w:hyperlink>
      <w:r>
        <w:t xml:space="preserve">), Three-Category Reserve Disclosure (</w:t>
      </w:r>
      <w:hyperlink r:id="rId29" w:history="1">
        <w:r>
          <w:rPr>
            <w:rStyle w:val="Hyperlink"/>
          </w:rPr>
          <w:t xml:space="preserve">3CRD</w:t>
        </w:r>
      </w:hyperlink>
      <w:r>
        <w:t xml:space="preserve"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  <w:r>
        <w:rPr>
          <w:rFonts w:ascii="Arial" w:cs="Arial" w:eastAsia="Arial" w:hAnsi="Arial"/>
          <w:color w:val="1A1A1A"/>
          <w:sz w:val="19"/>
          <w:szCs w:val="19"/>
        </w:rPr>
        <w:br/>
        <w:t xml:space="preserve"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letters/occ-mvep-v4/" TargetMode="External"/><Relationship Id="rId7" Type="http://schemas.openxmlformats.org/officeDocument/2006/relationships/hyperlink" Target="https://tokenization.systems/letters/occ-supplemental/" TargetMode="External"/><Relationship Id="rId8" Type="http://schemas.openxmlformats.org/officeDocument/2006/relationships/hyperlink" Target="https://tokenization.systems/letters/treasury-genius-state-similarity/" TargetMode="External"/><Relationship Id="rId10" Type="http://schemas.openxmlformats.org/officeDocument/2006/relationships/hyperlink" Target="https://tokenization.systems/letters/fdic-ag19-ppsi-activities/" TargetMode="External"/><Relationship Id="rId11" Type="http://schemas.openxmlformats.org/officeDocument/2006/relationships/hyperlink" Target="https://tokenization.systems/letters/fdic-ag20-ppsi-application/" TargetMode="External"/><Relationship Id="rId12" Type="http://schemas.openxmlformats.org/officeDocument/2006/relationships/hyperlink" Target="https://tokenization.systems/letters/fincen-aml-cft/" TargetMode="External"/><Relationship Id="rId13" Type="http://schemas.openxmlformats.org/officeDocument/2006/relationships/hyperlink" Target="https://tokenization.systems/letters/fincen-ofac-ppsi-sanctions/" TargetMode="External"/><Relationship Id="rId14" Type="http://schemas.openxmlformats.org/officeDocument/2006/relationships/hyperlink" Target="https://tokenization.systems/letters/banking-agencies-joint-aml/" TargetMode="External"/><Relationship Id="rId15" Type="http://schemas.openxmlformats.org/officeDocument/2006/relationships/hyperlink" Target="https://tokenization.systems/papers/routing-the-dollar/" TargetMode="External"/><Relationship Id="rId16" Type="http://schemas.openxmlformats.org/officeDocument/2006/relationships/hyperlink" Target="https://tokenization.systems/papers/governance-concentration/" TargetMode="External"/><Relationship Id="rId17" Type="http://schemas.openxmlformats.org/officeDocument/2006/relationships/hyperlink" Target="https://tokenization.systems/papers/control-layer-war/" TargetMode="External"/><Relationship Id="rId18" Type="http://schemas.openxmlformats.org/officeDocument/2006/relationships/hyperlink" Target="https://tokenization.systems/papers/mvep/" TargetMode="External"/><Relationship Id="rId19" Type="http://schemas.openxmlformats.org/officeDocument/2006/relationships/hyperlink" Target="https://tokenization.systems/papers/adaptive-tokenomics/" TargetMode="External"/><Relationship Id="rId20" Type="http://schemas.openxmlformats.org/officeDocument/2006/relationships/hyperlink" Target="https://tokenization.systems/papers/operational-risk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seven-dollars/" TargetMode="External"/><Relationship Id="rId23" Type="http://schemas.openxmlformats.org/officeDocument/2006/relationships/hyperlink" Target="https://tokenization.systems/papers/three-strategies/" TargetMode="External"/><Relationship Id="rId24" Type="http://schemas.openxmlformats.org/officeDocument/2006/relationships/hyperlink" Target="https://tokenization.systems/papers/who-burns-the-tokens/" TargetMode="External"/><Relationship Id="rId25" Type="http://schemas.openxmlformats.org/officeDocument/2006/relationships/hyperlink" Target="https://tokenization.systems/frameworks/#clii" TargetMode="External"/><Relationship Id="rId26" Type="http://schemas.openxmlformats.org/officeDocument/2006/relationships/hyperlink" Target="https://tokenization.systems/frameworks/#mvep" TargetMode="External"/><Relationship Id="rId27" Type="http://schemas.openxmlformats.org/officeDocument/2006/relationships/hyperlink" Target="https://tokenization.systems/frameworks/#mgcpt" TargetMode="External"/><Relationship Id="rId28" Type="http://schemas.openxmlformats.org/officeDocument/2006/relationships/hyperlink" Target="https://tokenization.systems/letters/fdic-ag19-ppsi-activities/" TargetMode="External"/><Relationship Id="rId29" Type="http://schemas.openxmlformats.org/officeDocument/2006/relationships/hyperlink" Target="https://tokenization.systems/frameworks/#3crd" TargetMode="External"/><Relationship Id="rId30" Type="http://schemas.openxmlformats.org/officeDocument/2006/relationships/hyperlink" Target="https://tokenization.systems/papers/dollar-v3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