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6"/>
            <w:szCs w:val="16"/>
          </w:rPr>
          <w:t xml:space="preserve">Tokenization.Systems</w:t>
        </w:r>
      </w:hyperlink>
      <w:r>
        <w:rPr>
          <w:sz w:val="16"/>
          <w:szCs w:val="16"/>
        </w:rPr>
        <w:t xml:space="preserve">  |  </w:t>
      </w:r>
      <w:hyperlink r:id="rIdnnxna0daueqz2sdxissom">
        <w:r>
          <w:rPr>
            <w:rStyle w:val="Hyperlink"/>
            <w:sz w:val="16"/>
            <w:szCs w:val="16"/>
          </w:rPr>
          <w:t xml:space="preserve">LinkedIn</w:t>
        </w:r>
      </w:hyperlink>
      <w:r>
        <w:rPr>
          <w:sz w:val="16"/>
          <w:szCs w:val="16"/>
        </w:rPr>
        <w:t xml:space="preserve">  |  </w:t>
      </w:r>
      <w:hyperlink r:id="rIdrdmpe-g4zsyvawvrrkisd">
        <w:r>
          <w:rPr>
            <w:rStyle w:val="Hyperlink"/>
            <w:sz w:val="16"/>
            <w:szCs w:val="16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5"/>
        </w:rPr>
        <w:t>· Digital assets since 2016 (10 years) · Sourced LayerZero seed (~80x) · CLII across 19 stablecoin gateways · 100 portfolio companies advised 1⁠-⁠on⁠-⁠1 (50+ multi⁠-⁠session) · 9 SSRN papers · 25 federal comment letters</w:t>
        <w:br/>
        <w:t>· 42 USPTO patent applications across 32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Ten years in digital assets: independent protocol research from Jul 2016, institutional practice from Dec 2019. 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6"/>
          <w:szCs w:val="16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25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Worked on the </w:t>
      </w:r>
      <w:r>
        <w:rPr>
          <w:b/>
        </w:rPr>
        <w:t>Cross-Chain Ecosystem Fund</w:t>
      </w:r>
      <w:r>
        <w:t>, which partnered with, invested in, and took investment from 15 of the top 25 Layer 1 chains, ecosystems that were simultaneously LPs, co-investors, and portfolio; supplied them access to teams building cross-chain composability infrastructure no single ecosystem could source alone.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15 MCP servers and 27 API services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7"/>
          <w:szCs w:val="17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48"/>
      <w:szCs w:val="48"/>
    </w:rPr>
  </w:style>
  <w:style w:type="paragraph" w:styleId="Heading1">
    <w:name w:val="Heading 1"/>
    <w:basedOn w:val="Normal"/>
    <w:next w:val="Normal"/>
    <w:qFormat/>
    <w:rPr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7"/>
      <w:szCs w:val="17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