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STABLECOIN-AS-PRECEDENT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</w:t>
        <w:br/>
        <w:t xml:space="preserve">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CSDs, payments messaging infrastructure, tier-1 banks,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led cross-functional team across Product, Risk,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