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8 federal comment letters · 8 SSRN papers · dialogues across national security think tanks,</w:t>
        <w:br/>
        <w:t xml:space="preserve">securities exchanges, Central Securities Depositories, payments messaging, tier-1 banks, SEC-registered transfer agents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 Now founder of Tokenization Systems (Feb 2026 to present); published the MVEP institutional diligence framework and CLII gateway concentration index. Predicted Thorchain's $200M insolvency 13 months ahead; sourced the LayerZero seed (~80x) at Borderless. Quantified the 22-to-1 capital gap between money-transmitter and bank chartering at $40B scale (MVEP finding).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