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6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hAnsi="Arial"/>
          <w:b/>
          <w:sz w:val="23"/>
        </w:rPr>
        <w:t>AI GOVERNANCE · CONTROL-LAYER ACCOUNTABILITY · DILIGENCE FRAMEWORKS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6"/>
        </w:rPr>
        <w:t xml:space="preserve">· 22 MCP + API connections · ~75 DATs analyzed · Diligence⁠-⁠doc review 4hr to 1hr · 8 SSRN papers · 8 federal comment letters</w:t>
        <w:br/>
        <w:t xml:space="preserve">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6"/>
        </w:rPr>
        <w:t>AI-augmented research and governance-infrastructure builder who turns control-layer and operator-accountability research into machine-readable diligence systems, now extending that accountability lens from stablecoin gateways to AI deployment.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6"/>
        </w:rPr>
        <w:t>Focus: research-infrastructure engineering, control-layer accountability, machine-readable diligence, agentic workflow automation · MCP server design, Monte Carlo, difference-in-differences, coalition-power analysis · Python, R, DuneSQL.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Research Function &amp; Automation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spacing w:after="20" w:before="80"/>
        <w:ind w:left="0" w:firstLine="0"/>
      </w:pPr>
      <w:r>
        <w:rPr>
          <w:b/>
          <w:i/>
        </w:rPr>
        <w:t>Governance Standards Advisory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20" w:before="80"/>
        <w:ind w:left="0" w:firstLine="0"/>
      </w:pPr>
      <w:r>
        <w:rPr>
          <w:b/>
          <w:i/>
        </w:rPr>
        <w:t>Investment &amp; Conviction Calls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rPr>
          <w:rFonts w:ascii="Arial" w:hAnsi="Arial"/>
          <w:sz w:val="19"/>
        </w:rPr>
        <w:t xml:space="preserve">• </w:t>
      </w:r>
      <w:r>
        <w:rPr>
          <w:rFonts w:ascii="Arial" w:hAnsi="Arial"/>
          <w:b/>
          <w:sz w:val="19"/>
        </w:rPr>
        <w:t>Canonical-State Architecture.</w:t>
      </w:r>
      <w:r>
        <w:rPr>
          <w:rFonts w:ascii="Arial" w:hAnsi="Arial"/>
          <w:sz w:val="19"/>
        </w:rPr>
        <w:t xml:space="preserve"> Filed a US provisional patent (USPTO 64/071,767, May 2026): a five-element coordination system for concurrent AI-agent sessions on a shared version-controlled repository, integrating per-session staging-index isolation, a multi-mode verification engine, a commit-time canonical-state coherence gate, recursive self-validation of discipline codifications, and an operator-confirmed promotion gate; validated across ~2,170 commits and 4 to 6 parallel AI coding sessions over ~4 months, with a companion 73-page methodology preprint. A second provisional (USPTO 19/693,448, May 2026) extends the architecture to role-routed cross-session coordination, actual-touched-file collision detection, and a self-describing verification registry (37-claim set).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rPr>
          <w:rFonts w:ascii="Arial" w:hAnsi="Arial"/>
          <w:sz w:val="19"/>
        </w:rPr>
        <w:t xml:space="preserve">• </w:t>
      </w:r>
      <w:hyperlink r:id="rId22">
        <w:r>
          <w:rPr>
            <w:rStyle w:val="Hyperlink"/>
            <w:b/>
          </w:rPr>
          <w:t xml:space="preserve">Who Burns the Tokens?</w:t>
        </w:r>
      </w:hyperlink>
      <w:r>
        <w:rPr>
          <w:rFonts w:ascii="Arial" w:hAnsi="Arial"/>
          <w:sz w:val="19"/>
        </w:rP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rPr>
          <w:rFonts w:ascii="Arial" w:hAnsi="Arial"/>
          <w:sz w:val="19"/>
        </w:rP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rPr>
          <w:rFonts w:ascii="Arial" w:hAnsi="Arial"/>
          <w:sz w:val="19"/>
        </w:rP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who-burns-the-token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