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60"/>
        <w:jc w:val="center"/>
      </w:pPr>
      <w:r>
        <w:rPr>
          <w:rFonts w:ascii="Arial" w:cs="Arial" w:eastAsia="Arial" w:hAnsi="Arial"/>
          <w:b/>
          <w:bCs/>
          <w:color w:val="1A1A1A"/>
          <w:sz w:val="36"/>
          <w:szCs w:val="36"/>
        </w:rPr>
        <w:t xml:space="preserve">Zach Zukowski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Orlando, FL | Zach@Tokenization.Systems | 407-536-8625</w:t>
      </w:r>
    </w:p>
    <w:p>
      <w:pPr>
        <w:spacing w:after="55" w:before="60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SSRN</w:t>
        </w:r>
      </w:hyperlink>
    </w:p>
    <w:p>
      <w:pPr>
        <w:spacing w:after="15" w:before="60"/>
        <w:jc w:val="center"/>
      </w:pPr>
      <w:r>
        <w:rPr>
          <w:rFonts w:ascii="Arial" w:cs="Arial" w:eastAsia="Arial" w:hAnsi="Arial"/>
          <w:b/>
          <w:bCs/>
          <w:color w:val="1A1A1A"/>
          <w:sz w:val="23"/>
          <w:szCs w:val="23"/>
        </w:rPr>
        <w:t>STABLECOIN &amp; PAYMENTS · INSTITUTIONAL DILIGENCE · REGULATORY ENGAGEMENT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4"/>
          <w:szCs w:val="19"/>
        </w:rPr>
        <w:t>· Sourced LayerZero seed (~80x) · CLII across 19 stablecoin gateways · 100 portfolio companies advised 1⁠-⁠on⁠-⁠1 (50+ multi⁠-⁠session) · 8 SSRN papers · 8 federal comment letters · Patent⁠-⁠pending Canonical⁠-⁠State Architecture for multi⁠-⁠agent AI research (USPTO 64/071,767)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SUMMARY</w:t>
      </w:r>
    </w:p>
    <w:p>
      <w:pPr>
        <w:spacing w:after="40" w:before="60"/>
      </w:pPr>
      <w:r>
        <w:rPr>
          <w:rFonts w:ascii="Arial" w:cs="Arial" w:eastAsia="Arial" w:hAnsi="Arial"/>
          <w:color w:val="1A1A1A"/>
          <w:sz w:val="19"/>
          <w:szCs w:val="19"/>
        </w:rPr>
        <w:t>Stablecoin and tokenization strategist who turns control-layer and operator-accountability research into deployment and diligence decisions, from federal dockets to capital-markets infrastructure. Founder of Tokenization Systems; first research hire at Borderless Capital, an RIA.</w:t>
      </w:r>
    </w:p>
    <w:p>
      <w:pPr>
        <w:spacing w:after="40" w:before="0"/>
      </w:pPr>
      <w:r>
        <w:rPr>
          <w:rFonts w:ascii="Arial" w:cs="Arial" w:eastAsia="Arial" w:hAnsi="Arial"/>
          <w:color w:val="1A1A1A"/>
          <w:sz w:val="19"/>
          <w:szCs w:val="19"/>
        </w:rPr>
        <w:t>Focus: stablecoin and tokenization diligence, control-layer concentration, operational risk, token-economic modeling · difference-in-differences, Monte Carlo, scenario modeling · OCC, FDIC, FinCEN, Treasury GENIUS, MiCA, Singapore MAS.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to Present</w:t>
      </w:r>
    </w:p>
    <w:p>
      <w:pPr>
        <w:spacing w:after="36" w:before="60"/>
        <w:ind w:left="320" w:hanging="160"/>
      </w:pPr>
      <w:r>
        <w:t xml:space="preserve">• Authored an eight-paper SSRN-live research program covering the </w:t>
      </w:r>
      <w:hyperlink r:id="rId6">
        <w:r>
          <w:rPr>
            <w:rStyle w:val="Hyperlink"/>
            <w:b/>
          </w:rPr>
          <w:t xml:space="preserve">Control Layer Intensity Index</w:t>
        </w:r>
      </w:hyperlink>
      <w:r>
        <w:t xml:space="preserve"> (CLII) for gateway concentration, the </w:t>
      </w:r>
      <w:hyperlink r:id="rId7">
        <w:r>
          <w:rPr>
            <w:rStyle w:val="Hyperlink"/>
            <w:b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8">
        <w:r>
          <w:rPr>
            <w:rStyle w:val="Hyperlink"/>
            <w:b/>
          </w:rPr>
          <w:t xml:space="preserve">Adaptive Tokenomics</w:t>
        </w:r>
      </w:hyperlink>
      <w:r>
        <w:t xml:space="preserve">),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 xml:space="preserve">. Three additional papers in development (B5 Bankruptcy-Priority Misaligned Incentives, A7 Control Layer Theory, SVB Reserve Concentration); methodology paper in preparation.</w:t>
      </w:r>
    </w:p>
    <w:p>
      <w:pPr>
        <w:spacing w:after="36" w:before="60"/>
        <w:ind w:left="320" w:hanging="160"/>
      </w:pPr>
      <w:r>
        <w:t xml:space="preserve">• Contributed eight comment letters across a federal regulatory program (OCC bank stablecoin engagement </w:t>
      </w:r>
      <w:hyperlink r:id="rId12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13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4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5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6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7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8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9">
        <w:r>
          <w:rPr>
            <w:rStyle w:val="Hyperlink"/>
          </w:rPr>
          <w:t xml:space="preserve">91 FR 18304</w:t>
        </w:r>
      </w:hyperlink>
      <w:r>
        <w:t xml:space="preserve">).</w:t>
      </w:r>
    </w:p>
    <w:p>
      <w:pPr>
        <w:spacing w:after="36" w:before="60"/>
        <w:ind w:left="320" w:hanging="160"/>
      </w:pPr>
      <w:r>
        <w:t xml:space="preserve">• </w:t>
      </w:r>
      <w:hyperlink r:id="rId20">
        <w:r>
          <w:rPr>
            <w:rStyle w:val="Hyperlink"/>
          </w:rPr>
          <w:t xml:space="preserve">Routing the Dollar</w:t>
        </w:r>
      </w:hyperlink>
      <w:r>
        <w:t xml:space="preserve"> prepared for the Federal Reserve Fifth Conference on the Dollar's International Roles (Jun 2026);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 in peer review at Frontiers in Blockchain.</w:t>
      </w:r>
    </w:p>
    <w:p>
      <w:pPr>
        <w:spacing w:after="36" w:before="60"/>
        <w:ind w:left="320" w:hanging="160"/>
      </w:pPr>
      <w:r>
        <w:t>• Active dialogues across U.S. national-security research, major securities exchanges, central securities depositories, global payments messaging infrastructure, tier-1 bank tokenization platforms, and SEC-registered transfer agents on stablecoin, deposit-token, tokenized-deposit, tokenized money-market-fund, tokenized-commodity, and tokenized-equity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to Feb 2026</w:t>
      </w:r>
    </w:p>
    <w:p>
      <w:pPr>
        <w:spacing w:after="20" w:before="80"/>
        <w:ind w:left="0" w:firstLine="0"/>
      </w:pPr>
      <w:r>
        <w:rPr>
          <w:b/>
          <w:i/>
        </w:rPr>
        <w:t>Sourcing &amp; Conviction Calls</w:t>
      </w:r>
    </w:p>
    <w:p>
      <w:pPr>
        <w:spacing w:after="36" w:before="60"/>
        <w:ind w:left="320" w:hanging="160"/>
      </w:pPr>
      <w:r>
        <w:t xml:space="preserve">• Sourced the </w:t>
      </w:r>
      <w:r>
        <w:rPr>
          <w:b/>
        </w:rPr>
        <w:t>LayerZero seed round</w:t>
      </w:r>
      <w:r>
        <w:t xml:space="preserve"> investment for Borderless, returning ~80x; the underlying cross-chain interoperability thesis preceded the firm's Cross-Chain Ecosystem Fund by two years.</w:t>
      </w:r>
    </w:p>
    <w:p>
      <w:pPr>
        <w:spacing w:after="36" w:before="60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, leading to a no-exposure posture before the predicted failure mode materialized.</w:t>
      </w:r>
    </w:p>
    <w:p>
      <w:pPr>
        <w:spacing w:after="20" w:before="80"/>
        <w:ind w:left="0" w:firstLine="0"/>
      </w:pPr>
      <w:r>
        <w:rPr>
          <w:b/>
          <w:i/>
        </w:rPr>
        <w:t>Portfolio Deployment &amp; IC</w:t>
      </w:r>
    </w:p>
    <w:p>
      <w:pPr>
        <w:spacing w:after="36" w:before="60"/>
        <w:ind w:left="320" w:hanging="160"/>
      </w:pPr>
      <w:r>
        <w:t>• Shipped 250 portfolio investments (~25% deployment rate) across ~10 institutional funds (~$500M AUM) from a 1,000+ deal pre-seed-to-Series-C funnel, with build/partner/hold recommendations to committee.</w:t>
      </w:r>
    </w:p>
    <w:p>
      <w:pPr>
        <w:spacing w:after="36" w:before="60"/>
        <w:ind w:left="320" w:hanging="160"/>
      </w:pPr>
      <w:r>
        <w:t xml:space="preserve">• Advised 100 portfolio companies 1-on-1 (50+ multi-session) on token mechanism design (stablecoin reserves, governance-token allocation and incentive design, yield wrappers, burn/emission dynamics); standards defined in </w:t>
      </w:r>
      <w:hyperlink r:id="rId21">
        <w:r>
          <w:rPr>
            <w:rStyle w:val="Hyperlink"/>
            <w:b/>
          </w:rPr>
          <w:t xml:space="preserve">Introduction to Tokenomics</w:t>
        </w:r>
      </w:hyperlink>
      <w:r>
        <w:t>.</w:t>
      </w:r>
    </w:p>
    <w:p>
      <w:pPr>
        <w:spacing w:after="20" w:before="80"/>
        <w:ind w:left="0" w:firstLine="0"/>
      </w:pPr>
      <w:r>
        <w:rPr>
          <w:b/>
          <w:i/>
        </w:rPr>
        <w:t>Token-Economic Research</w:t>
      </w:r>
    </w:p>
    <w:p>
      <w:pPr>
        <w:spacing w:after="36" w:before="60"/>
        <w:ind w:left="320" w:hanging="160"/>
      </w:pPr>
      <w:r>
        <w:t>• Built quantitative token-economic models forecasting emissions, fee capture, pricing and subsidy-to-revenue trajectories, and governance concentration under wide scenario ranges; supply-equilibrium and slashing dynamics supporting Layer 1 business-model and mechanism-design advisory.</w:t>
      </w:r>
    </w:p>
    <w:p>
      <w:pPr>
        <w:spacing w:after="36" w:before="60"/>
        <w:ind w:left="320" w:hanging="160"/>
      </w:pPr>
      <w:r>
        <w:t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spacing w:after="36" w:before="60"/>
        <w:ind w:left="320" w:hanging="160"/>
      </w:pPr>
      <w:r>
        <w:t>• Prevented hostile governance capture on a top-25 blockchain via voting-path simulation under coalition-attack scenarios; surfaced the vulnerability and mitigation route before exploitation.</w:t>
      </w:r>
    </w:p>
    <w:p>
      <w:pPr>
        <w:spacing w:after="20" w:before="80"/>
        <w:ind w:left="0" w:firstLine="0"/>
      </w:pPr>
      <w:r>
        <w:rPr>
          <w:b/>
          <w:i/>
        </w:rPr>
        <w:t>Regulatory &amp; Jurisdictional Strategy</w:t>
      </w:r>
    </w:p>
    <w:p>
      <w:pPr>
        <w:spacing w:after="36" w:before="60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spacing w:after="36" w:before="60"/>
        <w:ind w:left="320" w:hanging="160"/>
      </w:pPr>
      <w:r>
        <w:t>• Mapped jurisdictional tax / regulatory advantages of DAT structures over direct crypto holding: Japan's Metaplanet DAT cuts crypto capital-gains tax from up to 55% to 20% (equity rate, further reducible via Japan's IRA structure); Hong Kong's Southbound Connect could give mainland Chinese capital regulated access to crypto banned domestically.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SELECTED RESEARCH</w:t>
      </w:r>
    </w:p>
    <w:p>
      <w:pPr>
        <w:spacing w:after="28" w:before="60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Routing the Dollar.</w:t>
        </w:r>
      </w:hyperlink>
      <w:r>
        <w:t xml:space="preserve"> Prepared for Federal Reserve / FRBNY Fifth Conference on the Dollar's International Roles (Jun 2026). Gateway concentration; CLII across 19 gateways with Tier 1 a 56% / 44% Coinbase-Circle duopoly; on Ethereum, transfer volume doubled while unique counterparties fell 25% and cross-gateway connections dropped from 5.8% to 2.6%.</w:t>
      </w:r>
    </w:p>
    <w:p>
      <w:pPr>
        <w:spacing w:after="28" w:before="60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 w:before="60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 and how dollars move across them; CLII / MVEP decoupling; stress propagation through dependency chains (SVB, Circle pool, Paxos).</w:t>
      </w:r>
    </w:p>
    <w:p>
      <w:pPr>
        <w:spacing w:after="28" w:before="60"/>
        <w:ind w:left="320" w:hanging="160"/>
      </w:pPr>
      <w:r>
        <w:t xml:space="preserve">• </w:t>
      </w:r>
      <w:hyperlink r:id="rId30" w:history="1">
        <w:r>
          <w:rPr>
            <w:rStyle w:val="Hyperlink"/>
            <w:b/>
          </w:rPr>
          <w:t xml:space="preserve">Dollar v3.</w:t>
        </w:r>
      </w:hyperlink>
      <w:r>
        <w:t xml:space="preserve"> Four digital-dollar objects (payment stablecoins, tokenized deposits, deposit tokens, yield wrappers); typology for inheritance of control environments, backstop expectations, and failure modes; load-bearing for institutional scoping of product shape and counterparty topology.</w:t>
      </w:r>
    </w:p>
    <w:p>
      <w:pPr>
        <w:spacing w:after="28" w:before="60"/>
        <w:ind w:left="320" w:hanging="160"/>
      </w:pPr>
      <w:r>
        <w:t xml:space="preserve">• </w:t>
      </w:r>
      <w:hyperlink r:id="rId7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scale; production-validated by Circle's BUIDL March 27, 2025 incident (23 hours of limited availability).</w:t>
      </w:r>
    </w:p>
    <w:p>
      <w:pPr>
        <w:spacing w:after="28" w:before="60"/>
        <w:ind w:left="320" w:hanging="160"/>
      </w:pPr>
      <w:r>
        <w:t xml:space="preserve">• </w:t>
      </w:r>
      <w:hyperlink r:id="rId8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(PID, Proportional-Integral-Derivative) applied to token-supply emission as programmable monetary-policy mechanism; 240-scenario Monte Carlo simulation; PID emission control cuts worst-case node-count variance from CV (coefficient of variation) 0.544 (static emission) to 0.087 (PID), functioning as downside insurance under competitor-shock attack.</w:t>
      </w:r>
    </w:p>
    <w:p>
      <w:pPr>
        <w:spacing w:after="28" w:before="60"/>
        <w:ind w:left="320" w:hanging="160"/>
      </w:pPr>
      <w:r>
        <w:t xml:space="preserve">• </w:t>
      </w:r>
      <w:hyperlink r:id="rId11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study.</w:t>
      </w:r>
    </w:p>
    <w:p>
      <w:pPr>
        <w:spacing w:after="28" w:before="60"/>
        <w:ind w:left="320" w:hanging="160"/>
      </w:pPr>
      <w:r>
        <w:t xml:space="preserve">• </w:t>
      </w:r>
      <w:hyperlink r:id="rId10">
        <w:r>
          <w:rPr>
            <w:rStyle w:val="Hyperlink"/>
            <w:b/>
          </w:rPr>
          <w:t xml:space="preserve">Governance Concentration Beyond Token Allocation.</w:t>
        </w:r>
      </w:hyperlink>
      <w:r>
        <w:t xml:space="preserve"> In peer review at Frontiers in Blockchain. 40-protocol cross-section: initial token allocation does not predict governance concentration; protocol sector does (DePIN significantly more concentrated than DeFi; Cohen's d = 0.96).</w:t>
      </w:r>
    </w:p>
    <w:p>
      <w:pPr>
        <w:spacing w:after="28" w:before="60"/>
        <w:ind w:left="320" w:hanging="160"/>
      </w:pPr>
      <w:r>
        <w:t xml:space="preserve">• </w:t>
      </w:r>
      <w:hyperlink r:id="rId24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TECHNICAL</w:t>
      </w:r>
    </w:p>
    <w:p>
      <w:pPr>
        <w:spacing w:after="22" w:before="60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 w:before="60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 w:before="60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22 MCP and API connections wrapping the data sources above plus GitHub; Claude.ai + Claude Code + Cursor with 36-skill library and 17-file living-knowledge architecture;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RECOGNITION</w:t>
      </w:r>
    </w:p>
    <w:p>
      <w:pPr>
        <w:spacing w:after="36" w:before="60"/>
        <w:ind w:left="320" w:hanging="160"/>
      </w:pPr>
      <w:r>
        <w:t>• Uniswap Foundation governance committee (2025)</w:t>
      </w:r>
    </w:p>
    <w:p>
      <w:pPr>
        <w:spacing w:after="36" w:before="60"/>
        <w:ind w:left="320" w:hanging="160"/>
      </w:pPr>
      <w:r>
        <w:t>• ETHDenver pitch judge (2025)</w:t>
      </w:r>
    </w:p>
    <w:p>
      <w:pPr>
        <w:spacing w:after="36" w:before="60"/>
        <w:ind w:left="320" w:hanging="160"/>
      </w:pPr>
      <w:r>
        <w:t xml:space="preserve">• </w:t>
      </w:r>
      <w:hyperlink r:id="rId21">
        <w:r>
          <w:rPr>
            <w:rStyle w:val="Hyperlink"/>
            <w:b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FRAMEWORKS AUTHORED</w:t>
      </w:r>
    </w:p>
    <w:p>
      <w:pPr>
        <w:spacing w:after="36" w:before="60"/>
        <w:ind w:left="320" w:hanging="160"/>
      </w:pPr>
      <w:r>
        <w:t xml:space="preserve">• Control Layer Intensity Index (</w:t>
      </w:r>
      <w:hyperlink r:id="rId25" w:history="1">
        <w:r>
          <w:rPr>
            <w:rStyle w:val="Hyperlink"/>
          </w:rPr>
          <w:t xml:space="preserve">CLII</w:t>
        </w:r>
      </w:hyperlink>
      <w:r>
        <w:t xml:space="preserve">), Minimum Viable Equivalence Pack (</w:t>
      </w:r>
      <w:hyperlink r:id="rId26" w:history="1">
        <w:r>
          <w:rPr>
            <w:rStyle w:val="Hyperlink"/>
          </w:rPr>
          <w:t xml:space="preserve">MVEP</w:t>
        </w:r>
      </w:hyperlink>
      <w:r>
        <w:t xml:space="preserve">), MVEP-gated Conditional Pass-Through (</w:t>
      </w:r>
      <w:hyperlink r:id="rId27" w:history="1">
        <w:r>
          <w:rPr>
            <w:rStyle w:val="Hyperlink"/>
          </w:rPr>
          <w:t xml:space="preserve">MGCPT</w:t>
        </w:r>
      </w:hyperlink>
      <w:r>
        <w:t xml:space="preserve">; </w:t>
      </w:r>
      <w:hyperlink r:id="rId28" w:history="1">
        <w:r>
          <w:rPr>
            <w:rStyle w:val="Hyperlink"/>
          </w:rPr>
          <w:t xml:space="preserve">AG19 Rec 7</w:t>
        </w:r>
      </w:hyperlink>
      <w:r>
        <w:t xml:space="preserve">), Three-Category Reserve Disclosure (</w:t>
      </w:r>
      <w:hyperlink r:id="rId29" w:history="1">
        <w:r>
          <w:rPr>
            <w:rStyle w:val="Hyperlink"/>
          </w:rPr>
          <w:t xml:space="preserve">3CRD</w:t>
        </w:r>
      </w:hyperlink>
      <w:r>
        <w:t xml:space="preserve">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EDUCATION</w:t>
      </w:r>
    </w:p>
    <w:p>
      <w:pPr>
        <w:tabs>
          <w:tab w:val="right" w:pos="10320"/>
        </w:tabs>
        <w:spacing w:after="0" w:before="6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High Point University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| B.S.B.A., Business Administration (Magna Cum Laude) · Investment Club President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2018</w:t>
      </w:r>
      <w:r>
        <w:rPr>
          <w:rFonts w:ascii="Arial" w:cs="Arial" w:eastAsia="Arial" w:hAnsi="Arial"/>
          <w:color w:val="1A1A1A"/>
          <w:sz w:val="19"/>
          <w:szCs w:val="19"/>
        </w:rPr>
        <w:br/>
        <w:t xml:space="preserve">· Lingnan University, Hong Kong (exchange)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10386216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control-layer-war/" TargetMode="External"/><Relationship Id="rId7" Type="http://schemas.openxmlformats.org/officeDocument/2006/relationships/hyperlink" Target="https://tokenization.systems/papers/mvep/" TargetMode="External"/><Relationship Id="rId8" Type="http://schemas.openxmlformats.org/officeDocument/2006/relationships/hyperlink" Target="https://tokenization.systems/papers/adaptive-tokenomics/" TargetMode="External"/><Relationship Id="rId10" Type="http://schemas.openxmlformats.org/officeDocument/2006/relationships/hyperlink" Target="https://tokenization.systems/papers/governance-concentration/" TargetMode="External"/><Relationship Id="rId11" Type="http://schemas.openxmlformats.org/officeDocument/2006/relationships/hyperlink" Target="https://tokenization.systems/papers/operational-risk/" TargetMode="External"/><Relationship Id="rId12" Type="http://schemas.openxmlformats.org/officeDocument/2006/relationships/hyperlink" Target="https://tokenization.systems/letters/occ-mvep-v4/" TargetMode="External"/><Relationship Id="rId13" Type="http://schemas.openxmlformats.org/officeDocument/2006/relationships/hyperlink" Target="https://tokenization.systems/letters/occ-supplemental/" TargetMode="External"/><Relationship Id="rId14" Type="http://schemas.openxmlformats.org/officeDocument/2006/relationships/hyperlink" Target="https://tokenization.systems/letters/treasury-genius-state-similarity/" TargetMode="External"/><Relationship Id="rId15" Type="http://schemas.openxmlformats.org/officeDocument/2006/relationships/hyperlink" Target="https://tokenization.systems/letters/fdic-ag19-ppsi-activities/" TargetMode="External"/><Relationship Id="rId16" Type="http://schemas.openxmlformats.org/officeDocument/2006/relationships/hyperlink" Target="https://tokenization.systems/letters/fdic-ag20-ppsi-application/" TargetMode="External"/><Relationship Id="rId17" Type="http://schemas.openxmlformats.org/officeDocument/2006/relationships/hyperlink" Target="https://tokenization.systems/letters/fincen-aml-cft/" TargetMode="External"/><Relationship Id="rId18" Type="http://schemas.openxmlformats.org/officeDocument/2006/relationships/hyperlink" Target="https://tokenization.systems/letters/fincen-ofac-ppsi-sanctions/" TargetMode="External"/><Relationship Id="rId19" Type="http://schemas.openxmlformats.org/officeDocument/2006/relationships/hyperlink" Target="https://tokenization.systems/letters/banking-agencies-joint-aml/" TargetMode="External"/><Relationship Id="rId20" Type="http://schemas.openxmlformats.org/officeDocument/2006/relationships/hyperlink" Target="https://tokenization.systems/papers/routing-the-dollar/" TargetMode="External"/><Relationship Id="rId21" Type="http://schemas.openxmlformats.org/officeDocument/2006/relationships/hyperlink" Target="https://medium.com/borderless-capital/introduction-to-tokenomics-c7af75c09bfe" TargetMode="External"/><Relationship Id="rId22" Type="http://schemas.openxmlformats.org/officeDocument/2006/relationships/hyperlink" Target="https://tokenization.systems/papers/three-strategies/" TargetMode="External"/><Relationship Id="rId23" Type="http://schemas.openxmlformats.org/officeDocument/2006/relationships/hyperlink" Target="https://tokenization.systems/papers/seven-dollars/" TargetMode="External"/><Relationship Id="rId24" Type="http://schemas.openxmlformats.org/officeDocument/2006/relationships/hyperlink" Target="https://tokenization.systems/papers/who-burns-the-tokens/" TargetMode="External"/><Relationship Id="rId25" Type="http://schemas.openxmlformats.org/officeDocument/2006/relationships/hyperlink" Target="https://tokenization.systems/frameworks/#clii" TargetMode="External"/><Relationship Id="rId26" Type="http://schemas.openxmlformats.org/officeDocument/2006/relationships/hyperlink" Target="https://tokenization.systems/frameworks/#mvep" TargetMode="External"/><Relationship Id="rId27" Type="http://schemas.openxmlformats.org/officeDocument/2006/relationships/hyperlink" Target="https://tokenization.systems/frameworks/#mgcpt" TargetMode="External"/><Relationship Id="rId28" Type="http://schemas.openxmlformats.org/officeDocument/2006/relationships/hyperlink" Target="https://tokenization.systems/letters/fdic-ag19-ppsi-activities/" TargetMode="External"/><Relationship Id="rId29" Type="http://schemas.openxmlformats.org/officeDocument/2006/relationships/hyperlink" Target="https://tokenization.systems/frameworks/#3crd" TargetMode="External"/><Relationship Id="rId30" Type="http://schemas.openxmlformats.org/officeDocument/2006/relationships/hyperlink" Target="https://tokenization.systems/papers/dollar-v3/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