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6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POLICY · REGULATORY TRANSLATION · FEDERAL COMMENT LETTERS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6"/>
        </w:rPr>
        <w:t>· 8 federal comment letters · 8 SSRN papers · Dialogues across national security think tanks, securities exchanges, Central Securities Depositories, payments messaging, tier⁠-⁠1 banks, SEC⁠-⁠registered transfer agents 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6"/>
        </w:rPr>
        <w:t>Stablecoin policy and regulatory-strategy lead who translates banking and payments rulemaking into reserve, routing, and compliance positions, from federal dockets to capital-markets infrastructure.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6"/>
        </w:rPr>
        <w:t>Focus: stablecoin and payments policy, bank versus money-transmitter charter equivalence, reserve and AML/CFT standards, regulatory translation · OCC, FDIC, FinCEN, OFAC, Treasury GENIUS, CLARITY,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).</w:t>
      </w:r>
    </w:p>
    <w:p>
      <w:pPr>
        <w:spacing w:after="36" w:before="60"/>
        <w:ind w:left="320" w:hanging="160"/>
      </w:pPr>
      <w:r>
        <w:t xml:space="preserve">• </w:t>
      </w:r>
      <w:hyperlink r:id="rId15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7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18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19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20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20" w:before="80"/>
        <w:ind w:left="0" w:firstLine="0"/>
      </w:pPr>
      <w:r>
        <w:rPr>
          <w:b/>
          <w:i/>
        </w:rPr>
        <w:t>Regulatory Engagement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20" w:before="80"/>
        <w:ind w:left="0" w:firstLine="0"/>
      </w:pPr>
      <w:r>
        <w:rPr>
          <w:b/>
          <w:i/>
        </w:rPr>
        <w:t>Market-Structure Diligence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20" w:before="80"/>
        <w:ind w:left="0" w:firstLine="0"/>
      </w:pPr>
      <w:r>
        <w:rPr>
          <w:b/>
          <w:i/>
        </w:rPr>
        <w:t>Capital Deployment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built AI tool that cut subscription review from 4hr to 1hr per deal.</w:t>
      </w:r>
    </w:p>
    <w:p>
      <w:pPr>
        <w:spacing w:after="20" w:before="80"/>
        <w:ind w:left="0" w:firstLine="0"/>
      </w:pPr>
      <w:r>
        <w:rPr>
          <w:b/>
          <w:i/>
        </w:rPr>
        <w:t>Advisory &amp; Education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15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(2025)</w:t>
      </w:r>
    </w:p>
    <w:p>
      <w:pPr>
        <w:spacing w:after="38" w:before="60"/>
      </w:pPr>
      <w:r>
        <w:t>• ETHDenver pitch judge (2025)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3CRD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papers/routing-the-dollar/" TargetMode="External"/><Relationship Id="rId16" Type="http://schemas.openxmlformats.org/officeDocument/2006/relationships/hyperlink" Target="https://tokenization.systems/papers/governance-concentration/" TargetMode="External"/><Relationship Id="rId17" Type="http://schemas.openxmlformats.org/officeDocument/2006/relationships/hyperlink" Target="https://tokenization.systems/papers/control-layer-war/" TargetMode="External"/><Relationship Id="rId18" Type="http://schemas.openxmlformats.org/officeDocument/2006/relationships/hyperlink" Target="https://tokenization.systems/papers/mvep/" TargetMode="External"/><Relationship Id="rId19" Type="http://schemas.openxmlformats.org/officeDocument/2006/relationships/hyperlink" Target="https://tokenization.systems/papers/adaptive-tokenomics/" TargetMode="External"/><Relationship Id="rId20" Type="http://schemas.openxmlformats.org/officeDocument/2006/relationships/hyperlink" Target="https://tokenization.systems/papers/operational-risk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seven-dollar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3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