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hAnsi="Arial"/>
          <w:b/>
          <w:sz w:val="23"/>
        </w:rPr>
        <w:t>AI GOVERNANCE · CONTROL-LAYER ACCOUNTABILITY · DILIGENCE FRAMEWORKS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 xml:space="preserve">· 22 MCP + API connections · ~75 DATs analyzed · Diligence⁠-⁠doc review 4hr to 1hr · 8 SSRN papers · 8 federal comment letters</w:t>
        <w:br/>
        <w:t xml:space="preserve">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r>
        <w:rPr>
          <w:rFonts w:ascii="Arial" w:hAnsi="Arial"/>
          <w:b/>
          <w:sz w:val="19"/>
        </w:rPr>
        <w:t>Canonical-State Architecture.</w:t>
      </w:r>
      <w:r>
        <w:rPr>
          <w:rFonts w:ascii="Arial" w:hAnsi="Arial"/>
          <w:sz w:val="19"/>
        </w:rPr>
        <w:t xml:space="preserve"> Filed a US provisional patent (USPTO 64/071,767, May 2026):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A second provisional (USPTO 19/693,448, May 2026) extends the architecture to role-routed cross-session coordination, actual-touched-file collision detection, and a self-describing verification registry (37-claim set).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rPr>
          <w:rFonts w:ascii="Arial" w:hAnsi="Arial"/>
          <w:sz w:val="19"/>
        </w:rP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rPr>
          <w:rFonts w:ascii="Arial" w:hAnsi="Arial"/>
          <w:sz w:val="19"/>
        </w:rP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