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DIGITAL ASSET PRODUCT · TOKENIZED MONEY AND PAYMENTS · INSTITUTIONAL DILIGENCE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4"/>
          <w:szCs w:val="19"/>
        </w:rPr>
        <w:t>· 1,000+ deal funnel · 100 portfolio companies advised 1⁠-⁠on⁠-⁠1 (50+ multi⁠-⁠session) · LayerZero seed (~80x) · Thorchain $200M insolvency modeled 13 months ahead · 8 SSRN papers · 8 federal comment letters · Patent⁠-⁠pending Canonical⁠-⁠State Architecture for multi⁠-⁠agent AI research (USPTO 64/071,767)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40" w:before="60"/>
      </w:pPr>
      <w:r>
        <w:rPr>
          <w:rFonts w:ascii="Arial" w:cs="Arial" w:eastAsia="Arial" w:hAnsi="Arial"/>
          <w:color w:val="1A1A1A"/>
          <w:sz w:val="19"/>
          <w:szCs w:val="19"/>
        </w:rPr>
        <w:t>Digital-asset product strategist across stablecoins, deposit tokens, tokenized money-market funds, and on-chain payment rails, grounding product calls in control-layer and operator-accountability research. Founder of Tokenization Systems; first hire at Borderless Capital, an RIA.</w:t>
      </w:r>
    </w:p>
    <w:p>
      <w:pPr>
        <w:spacing w:after="40" w:before="0"/>
      </w:pPr>
      <w:r>
        <w:rPr>
          <w:rFonts w:ascii="Arial" w:cs="Arial" w:eastAsia="Arial" w:hAnsi="Arial"/>
          <w:color w:val="1A1A1A"/>
          <w:sz w:val="19"/>
          <w:szCs w:val="19"/>
        </w:rPr>
        <w:t>Focus: payment stablecoins, deposit tokens, tokenized money-market funds, on-chain payment rails · token-economic and scenario modeling, build-versus-partner framework design · OCC, FDIC, FinCEN, Treasury GENIUS, CLARITY, MiCA.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16">
        <w:r>
          <w:rPr>
            <w:rStyle w:val="Hyperlink"/>
            <w:b/>
          </w:rPr>
          <w:t>Control Layer Intensity Index</w:t>
        </w:r>
      </w:hyperlink>
      <w:r>
        <w:t xml:space="preserve"> (CLII) for stablecoin gateway and payment-rail concentration, the </w:t>
      </w:r>
      <w:hyperlink r:id="rId21">
        <w:r>
          <w:rPr>
            <w:rStyle w:val="Hyperlink"/>
            <w:b/>
          </w:rPr>
          <w:t>Minimum Viable Equivalence Pack</w:t>
        </w:r>
      </w:hyperlink>
      <w:r>
        <w:t xml:space="preserve"> (MVEP) for institutional tokenization diligence, programmable monetary-policy design (</w:t>
      </w:r>
      <w:hyperlink r:id="rId6">
        <w:r>
          <w:rPr>
            <w:rStyle w:val="Hyperlink"/>
            <w:b/>
          </w:rPr>
          <w:t xml:space="preserve">Adaptive Tokenomics</w:t>
        </w:r>
      </w:hyperlink>
      <w:r>
        <w:t xml:space="preserve">), governance concentration, and operational risk in token economies.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7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8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0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1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2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3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4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5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16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7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 xml:space="preserve"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18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6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19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29" w:history="1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PM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6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 with custody and reporting controls relevant to tokenized payment platforms.</w:t>
      </w:r>
    </w:p>
    <w:p>
      <w:pPr>
        <w:spacing w:after="28" w:before="60"/>
        <w:ind w:left="320" w:hanging="160"/>
      </w:pPr>
      <w:r>
        <w:t xml:space="preserve">• </w:t>
      </w:r>
      <w:hyperlink r:id="rId17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rPr>
          <w:b w:val="0"/>
        </w:rP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rPr>
          <w:b w:val="0"/>
        </w:rP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rPr>
          <w:b w:val="0"/>
        </w:rP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(2025)</w:t>
      </w:r>
    </w:p>
    <w:p>
      <w:pPr>
        <w:spacing w:after="36" w:before="60"/>
        <w:ind w:left="320" w:hanging="160"/>
      </w:pPr>
      <w:r>
        <w:t>• ETHDenver pitch judge (2025)</w:t>
      </w:r>
    </w:p>
    <w:p>
      <w:pPr>
        <w:spacing w:after="36" w:before="60"/>
        <w:ind w:left="320" w:hanging="160"/>
      </w:pPr>
      <w:r>
        <w:t xml:space="preserve">• </w:t>
      </w:r>
      <w:hyperlink r:id="rId18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6" w:before="60"/>
        <w:ind w:left="320" w:hanging="160"/>
      </w:pPr>
      <w:r>
        <w:t xml:space="preserve">• Control Layer Intensity Index (</w:t>
      </w:r>
      <w:hyperlink r:id="rId24" w:history="1">
        <w:r>
          <w:rPr>
            <w:rStyle w:val="Hyperlink"/>
          </w:rPr>
          <w:t xml:space="preserve">CLII</w:t>
        </w:r>
      </w:hyperlink>
      <w:r>
        <w:t xml:space="preserve">), Minimum Viable Equivalence Pack (</w:t>
      </w:r>
      <w:hyperlink r:id="rId25" w:history="1">
        <w:r>
          <w:rPr>
            <w:rStyle w:val="Hyperlink"/>
          </w:rPr>
          <w:t xml:space="preserve">MVEP</w:t>
        </w:r>
      </w:hyperlink>
      <w:r>
        <w:t xml:space="preserve">), MVEP-gated Conditional Pass-Through (</w:t>
      </w:r>
      <w:hyperlink r:id="rId26" w:history="1">
        <w:r>
          <w:rPr>
            <w:rStyle w:val="Hyperlink"/>
          </w:rPr>
          <w:t xml:space="preserve">MGCPT</w:t>
        </w:r>
      </w:hyperlink>
      <w:r>
        <w:t xml:space="preserve">; </w:t>
      </w:r>
      <w:hyperlink r:id="rId27" w:history="1">
        <w:r>
          <w:rPr>
            <w:rStyle w:val="Hyperlink"/>
          </w:rPr>
          <w:t xml:space="preserve">AG19 Rec 7</w:t>
        </w:r>
      </w:hyperlink>
      <w:r>
        <w:t xml:space="preserve">), Three-Category Reserve Disclosure (</w:t>
      </w:r>
      <w:hyperlink r:id="rId28" w:history="1">
        <w:r>
          <w:rPr>
            <w:rStyle w:val="Hyperlink"/>
          </w:rPr>
          <w:t xml:space="preserve">TCRD</w:t>
        </w:r>
      </w:hyperlink>
      <w:r>
        <w:t xml:space="preserve"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  <w:r>
        <w:rPr>
          <w:rFonts w:ascii="Arial" w:cs="Arial" w:eastAsia="Arial" w:hAnsi="Arial"/>
          <w:color w:val="1A1A1A"/>
          <w:sz w:val="19"/>
          <w:szCs w:val="19"/>
        </w:rPr>
        <w:br/>
        <w:t xml:space="preserve"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adaptive-tokenomics/" TargetMode="External"/><Relationship Id="rId7" Type="http://schemas.openxmlformats.org/officeDocument/2006/relationships/hyperlink" Target="https://tokenization.systems/letters/occ-mvep-v4/" TargetMode="External"/><Relationship Id="rId8" Type="http://schemas.openxmlformats.org/officeDocument/2006/relationships/hyperlink" Target="https://tokenization.systems/letters/occ-supplemental/" TargetMode="External"/><Relationship Id="rId10" Type="http://schemas.openxmlformats.org/officeDocument/2006/relationships/hyperlink" Target="https://tokenization.systems/letters/treasury-genius-state-similarity/" TargetMode="External"/><Relationship Id="rId11" Type="http://schemas.openxmlformats.org/officeDocument/2006/relationships/hyperlink" Target="https://tokenization.systems/letters/fdic-ag19-ppsi-activities/" TargetMode="External"/><Relationship Id="rId12" Type="http://schemas.openxmlformats.org/officeDocument/2006/relationships/hyperlink" Target="https://tokenization.systems/letters/fdic-ag20-ppsi-application/" TargetMode="External"/><Relationship Id="rId13" Type="http://schemas.openxmlformats.org/officeDocument/2006/relationships/hyperlink" Target="https://tokenization.systems/letters/fincen-aml-cft/" TargetMode="External"/><Relationship Id="rId14" Type="http://schemas.openxmlformats.org/officeDocument/2006/relationships/hyperlink" Target="https://tokenization.systems/letters/fincen-ofac-ppsi-sanctions/" TargetMode="External"/><Relationship Id="rId15" Type="http://schemas.openxmlformats.org/officeDocument/2006/relationships/hyperlink" Target="https://tokenization.systems/letters/banking-agencies-joint-aml/" TargetMode="External"/><Relationship Id="rId16" Type="http://schemas.openxmlformats.org/officeDocument/2006/relationships/hyperlink" Target="https://tokenization.systems/papers/routing-the-dollar/" TargetMode="External"/><Relationship Id="rId17" Type="http://schemas.openxmlformats.org/officeDocument/2006/relationships/hyperlink" Target="https://tokenization.systems/papers/governance-concentration/" TargetMode="External"/><Relationship Id="rId18" Type="http://schemas.openxmlformats.org/officeDocument/2006/relationships/hyperlink" Target="https://medium.com/borderless-capital/introduction-to-tokenomics-c7af75c09bfe" TargetMode="External"/><Relationship Id="rId19" Type="http://schemas.openxmlformats.org/officeDocument/2006/relationships/hyperlink" Target="https://tokenization.systems/papers/three-strategies/" TargetMode="External"/><Relationship Id="rId20" Type="http://schemas.openxmlformats.org/officeDocument/2006/relationships/hyperlink" Target="https://tokenization.systems/papers/seven-dollars/" TargetMode="External"/><Relationship Id="rId21" Type="http://schemas.openxmlformats.org/officeDocument/2006/relationships/hyperlink" Target="https://tokenization.systems/papers/mvep/" TargetMode="External"/><Relationship Id="rId22" Type="http://schemas.openxmlformats.org/officeDocument/2006/relationships/hyperlink" Target="https://tokenization.systems/papers/operational-risk/" TargetMode="External"/><Relationship Id="rId23" Type="http://schemas.openxmlformats.org/officeDocument/2006/relationships/hyperlink" Target="https://tokenization.systems/papers/who-burns-the-tokens/" TargetMode="External"/><Relationship Id="rId24" Type="http://schemas.openxmlformats.org/officeDocument/2006/relationships/hyperlink" Target="https://tokenization.systems/frameworks/#clii" TargetMode="External"/><Relationship Id="rId25" Type="http://schemas.openxmlformats.org/officeDocument/2006/relationships/hyperlink" Target="https://tokenization.systems/frameworks/#mvep" TargetMode="External"/><Relationship Id="rId26" Type="http://schemas.openxmlformats.org/officeDocument/2006/relationships/hyperlink" Target="https://tokenization.systems/frameworks/#mgcpt" TargetMode="External"/><Relationship Id="rId27" Type="http://schemas.openxmlformats.org/officeDocument/2006/relationships/hyperlink" Target="https://tokenization.systems/letters/fdic-ag19-ppsi-activities/" TargetMode="External"/><Relationship Id="rId28" Type="http://schemas.openxmlformats.org/officeDocument/2006/relationships/hyperlink" Target="https://tokenization.systems/frameworks/#tcrd" TargetMode="External"/><Relationship Id="rId29" Type="http://schemas.openxmlformats.org/officeDocument/2006/relationships/hyperlink" Target="https://tokenization.systems/papers/dollar-v3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