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321-236-2261</w:t>
      </w:r>
    </w:p>
    <w:p>
      <w:pPr>
        <w:spacing w:after="55"/>
        <w:jc w:val="center"/>
      </w:pPr>
      <w:hyperlink w:history="1" r:id="rIdxmuqvvnt3zpkikryl7r5v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tcoxnwxyxxsa2zjqsh6lt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i3vesbaomiccynxj2pdsz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DIGITAL ASSETS, TOKENIZATION &amp; PRODUCT DILIGENCE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Digital asset and tokenization research professional focused on institutional product diligence, market structure, and portfolio monitoring. Founding research hire at a Web3-focused registered investment adviser, where I built the research operating system from scratch, led a four-analyst team, and supported underwriting across ~250 investments and ~$500M in assets under management. Deep expertise in tokenized-product equivalence, stablecoins, liquidity, custody, settlement dependencies, and disclosure-driven monitoring. Seven-paper research program (four on SSRN; work submitted to the Fifth Conference on the International Roles of the U.S. Dollar, hosted by the Federal Reserve Board and Federal Reserve Bank of New York, June 2026).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Senior Investment Analyst, Digital Assets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Borderless Capital (RIA; first hire)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Dec 2019 – Present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Supported sourcing and underwriting across 1,000+ opportunities and ~250 investments (~$500M AUM, ~10 institutional funds), with coverage spanning tokenized products, stablecoins, market structure, and operator risk. Led investor reporting, portfolio strategy, and committee briefing materials with trigger-based assumption tracking.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Analyzed ~75 tokenization offerings in 2025 and invested in 18. Built automated daily multiple-on-NAV dashboard sourcing SEC filings and press releases directly. Modeled daily portfolio liquidity across holdings and token unlock schedules for committee reporting.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Led diligence on stablecoins and tokenized products: reserve custody, redemption mechanics, settlement finality, concentration and portability risk, and the evidence required to establish legal, operational, and economic equivalence.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the research operating system and monitoring workflows that investment committees rely on for diligence, sizing, and ongoing oversight: coverage roadmap, compliance workflows, decision logs with documented assumption registers, and trigger-based posture updates. Led a four-analyst team.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Forecasted $1B+ on-chain protocol collapse ~12 months early by mapping the causal chain and defining leading indicator thresholds; guided risk posture to avoid exposure. Prevented hostile governance capture on a top-50 Layer 1 blockchain via voting-path simulation. Identified and corrected circulating-supply misreporting that had propagated to industry-standard data aggregators.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quantitative token-economic models forecasting emissions, fee capture, the transition from subsidy-funded to revenue-funded economics, and governance concentration under wide scenario ranges. Advised on 100+ tokenomics engagements across stablecoin issuers, tokenized real-world assets, and lending platforms. Uniswap Foundation governance committee (2024); led 9 accelerator programs.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Developed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CLII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(Control Layer Intensity Index) and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MVEP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(Minimum Viable Equivalence Pack) to evaluate tokenized products on documented evidence: rights parity, custody, finality, and stress behavior (both on SSRN). AI-assisted diligence workflow processes ~1,000+ pages per deal, reducing review time from ~4 hours to ~1 hour.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Analyst Intern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Greenway Solutions (USAA)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May – Sep 2016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Benchmarked USAA fraud controls across online, mobile, and call-center channels versus 9 peer U.S. banks; delivered recommendations on funds-availability, wire-transfer, and identity-verification controls.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Minimum Viable Equivalence Packs.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Three equivalence claims (legal, operational, economic) tested through nine diligence categories for institutional tokenized-product approval.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Tokenized Equity.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Diligence framework for tokenized equity: rights parity, custody segregation, settlement dependencies, and market-structure constraints.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Routing the Dollar.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Submitted, Fed Reserve Board / FRBNY, June 2026.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Gateway concentration, settlement flows, and dollar transmission for institutional tokenized-cash products.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Dollar v3 / The Control Layer War.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different token types inherit different regulatory perimeters and value-capture mechanics.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Methods: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Scenario analysis, time-series econometrics (cointegration, vector error correction), Monte Carlo simulation, concentration and liquidity analysis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Data: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Dune Analytics, Nansen Pro, Artemis, DefiLlama, FRED, CoinGecko, Helius, SEC filing and press-release monitoring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Python (pandas, statsmodels, scipy, matplotlib), SQL (DuneSQL, Trino), JavaScript/TypeScript, Excel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Infrastructure: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10 custom Python MCP servers for real-time data feeds, Claude Code, Cursor, n8n, Apify, Git/GitHub</w:t>
      </w:r>
    </w:p>
    <w:p>
      <w:pPr>
        <w:pBdr>
          <w:bottom w:val="single" w:color="AAAAAA" w:sz="3" w:space="1"/>
        </w:pBdr>
        <w:spacing w:before="130" w:after="45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560" w:right="960" w:bottom="44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muqvvnt3zpkikryl7r5v" Type="http://schemas.openxmlformats.org/officeDocument/2006/relationships/hyperlink" Target="https://tokenization.systems" TargetMode="External"/><Relationship Id="rIdtcoxnwxyxxsa2zjqsh6lt" Type="http://schemas.openxmlformats.org/officeDocument/2006/relationships/hyperlink" Target="https://linkedin.com/in/zachzukowski" TargetMode="External"/><Relationship Id="rIdi3vesbaomiccynxj2pdsz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2026-03-25T00:23:39.612Z</dcterms:created>
  <dcterms:modified xsi:type="dcterms:W3CDTF">2026-03-25T00:23:39.612Z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