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321-236-2261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 xml:space="preserve">STABLECOIN, TOKENIZATION &amp; PAYMENTS STRATEGY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Stablecoin and tokenization strategist with experience advising 100+ tokenization engagements across stablecoin issuers, tokenized real-world assets, and lending platforms. Founding research hire at Borderless Capital (a registered investment adviser), where I built the research function from scratch and supported underwriting across ~250 investments and ~$500M in assets under management. Specializes in reserve custody, redemption architecture, settlement design, and portability risk across providers and networks. Seven-paper research program (four on SSRN), with work submitted to the Federal Reserve’s Fifth Conference on the Dollar’s International Roles (June 2026).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28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Senior Investment Analyst, Digital Assets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Borderless Capital (RIA; first hire)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Dec 2019 – Present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Advised on 100+ tokenization engagements across stablecoin issuers, tokenized real-world assets, and lending platforms: reserve architecture, incentive design, launch-readiness standards, and regulatory surface mapping.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Led diligence on stablecoin and tokenization settlement infrastructure: reserve custody and composition, redemption pathways and service-level agreements, settlement finality, concentration and portability risk, and stress-episode behavior across issuers, custodians, and settlement banks.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Translated regulatory change (GENIUS Act, CLARITY Act, state licensing frameworks) into concrete product, reserve, routing, and compliance decisions. Research on how payment stablecoins, tokenized deposits, and yield-bearing wrappers (tokenized money-market funds, T-bill strategies) each inherit distinct regulatory perimeters informs product design, compliance architecture, and go-to-market strategy.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Developed the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CLII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classifying regulatory intensity (custody segregation, reconciliation integrity, and concentration risk), and the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MVEP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framework defining nine categories of institutional tokenization diligence. Both published on SSRN.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Built automated monitoring for tokenization products from SEC filings and press releases; analyzed ~75 tokenization offerings in 2025 and invested in 18. Built AI-assisted diligence workflows reducing subscription-document review time from ~4 hours to ~1 hour per deal.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Built quantitative token-economic models forecasting emissions, fee capture, subsidy-to-revenue trajectories, and governance concentration under wide scenario ranges. Modeled token supply equilibrium (burn-mint dynamics), adaptive feedback emission controllers, and penalty-driven token destruction (slashing) to guide mechanism design and advisory with leading Layer 1 teams.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Built the firm’s research function from scratch and led a four-analyst team producing ~25 long-form publications annually. Supported underwriting across ~250 investments (~$500M AUM, ~10 funds). Led 9 accelerator programs (~75 teams taught); served on a Uniswap Foundation governance committee (2024); ETHDenver pitch judge.</w:t>
      </w:r>
    </w:p>
    <w:p>
      <w:pPr>
        <w:tabs>
          <w:tab w:val="right" w:pos="10320"/>
        </w:tabs>
        <w:spacing w:after="28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Analyst Intern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Greenway Solutions (USAA)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May – Sep 2016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Benchmarked USAA fraud controls across online, mobile, and call-center channels versus 9 peer U.S. banks; delivered recommendations on funds-availability, wire-transfer, and identity-verification controls.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Routing the Dollar.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Submitted, Fed Reserve Board / FRBNY, June 2026. SSRN.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How gateway infrastructure concentrates control, routes settlement, and determines operator accountability under stress.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Dollar v3 / The Control Layer War.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Published.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How CLARITY and GENIUS provisions concentrate value and liability at the control layer operators build.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Minimum Viable Equivalence Packs.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SSRN.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The institutional diligence standard operators must clear before tokenized products reach committee.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Adaptive Tokenomics.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SSRN.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Systems-engineering design laboratory stress-tested with 240-run Monte Carlo ensemble across four adversarial scenarios. Adaptive emissions as tail-risk insurance; slashing dominates supply during bootstrapping.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Methods: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Agent-based Monte Carlo simulation, adaptive feedback control systems, token supply equilibrium modeling, concentration and scenario analysis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Data: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Dune Analytics, Nansen Pro, Artemis, DefiLlama, CoinGecko, Helius, Spacescope, SEC filing monitoring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Languages: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Python (pandas, statsmodels, scipy, matplotlib), SQL (DuneSQL, Trino), JavaScript/TypeScript, Excel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Infrastructure: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10 custom Python MCP servers for real-time data feeds, Claude Code, Cursor, n8n, Apify, Git/GitHub</w:t>
      </w:r>
    </w:p>
    <w:p>
      <w:pPr>
        <w:pBdr>
          <w:bottom w:val="single" w:color="AAAAAA" w:sz="3" w:space="1"/>
        </w:pBdr>
        <w:spacing w:before="130" w:after="45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Investment Club President | Lingnan University, Hong Kong (Exchange)</w:t>
      </w:r>
    </w:p>
    <w:sectPr>
      <w:pgSz w:w="12240" w:h="15840" w:orient="portrait"/>
      <w:pgMar w:top="560" w:right="960" w:bottom="440" w:left="9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