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40"/>
          <w:szCs w:val="40"/>
        </w:rPr>
        <w:t xml:space="preserve">Zach Zukowski</w:t>
      </w:r>
    </w:p>
    <w:p>
      <w:pPr>
        <w:spacing w:after="10"/>
        <w:jc w:val="center"/>
      </w:pPr>
      <w:r>
        <w:rPr>
          <w:rFonts w:ascii="Arial" w:cs="Arial" w:eastAsia="Arial" w:hAnsi="Arial"/>
          <w:color w:val="444444"/>
          <w:sz w:val="19"/>
          <w:szCs w:val="19"/>
        </w:rPr>
        <w:t xml:space="preserve">Orlando, FL | zach@tokenization.systems | 321-236-2261</w:t>
      </w:r>
    </w:p>
    <w:p>
      <w:pPr>
        <w:spacing w:after="55"/>
        <w:jc w:val="center"/>
      </w:pPr>
      <w:hyperlink w:history="1" r:id="rIdl2mfd3v9zedjhok7kvcpb">
        <w:r>
          <w:rPr>
            <w:rFonts w:ascii="Arial" w:cs="Arial" w:eastAsia="Arial" w:hAnsi="Arial"/>
            <w:color w:val="2255AA"/>
            <w:sz w:val="19"/>
            <w:szCs w:val="19"/>
          </w:rPr>
          <w:t xml:space="preserve">tokenization.systems</w:t>
        </w:r>
      </w:hyperlink>
      <w:r>
        <w:rPr>
          <w:rFonts w:ascii="Arial" w:cs="Arial" w:eastAsia="Arial" w:hAnsi="Arial"/>
          <w:color w:val="444444"/>
          <w:sz w:val="19"/>
          <w:szCs w:val="19"/>
        </w:rPr>
        <w:t xml:space="preserve">  |  </w:t>
      </w:r>
      <w:hyperlink w:history="1" r:id="rIdv0hbkaxebreghp0ezpgrj">
        <w:r>
          <w:rPr>
            <w:rFonts w:ascii="Arial" w:cs="Arial" w:eastAsia="Arial" w:hAnsi="Arial"/>
            <w:color w:val="2255AA"/>
            <w:sz w:val="19"/>
            <w:szCs w:val="19"/>
          </w:rPr>
          <w:t xml:space="preserve">LinkedIn</w:t>
        </w:r>
      </w:hyperlink>
      <w:r>
        <w:rPr>
          <w:rFonts w:ascii="Arial" w:cs="Arial" w:eastAsia="Arial" w:hAnsi="Arial"/>
          <w:color w:val="444444"/>
          <w:sz w:val="19"/>
          <w:szCs w:val="19"/>
        </w:rPr>
        <w:t xml:space="preserve">  |  </w:t>
      </w:r>
      <w:hyperlink w:history="1" r:id="rId-mewv3mts_6gjgvfbxlil">
        <w:r>
          <w:rPr>
            <w:rFonts w:ascii="Arial" w:cs="Arial" w:eastAsia="Arial" w:hAnsi="Arial"/>
            <w:color w:val="2255AA"/>
            <w:sz w:val="19"/>
            <w:szCs w:val="19"/>
          </w:rPr>
          <w:t xml:space="preserve">SSRN</w:t>
        </w:r>
      </w:hyperlink>
    </w:p>
    <w:p>
      <w:pPr>
        <w:spacing w:after="15"/>
        <w:jc w:val="center"/>
      </w:pPr>
      <w:r>
        <w:rPr>
          <w:rFonts w:ascii="Arial" w:cs="Arial" w:eastAsia="Arial" w:hAnsi="Arial"/>
          <w:b/>
          <w:bCs/>
          <w:color w:val="1A1A1A"/>
          <w:sz w:val="23"/>
          <w:szCs w:val="23"/>
        </w:rPr>
        <w:t xml:space="preserve">DIGITAL MONEY, TOKENIZATION &amp; MARKET INFRASTRUCTURE RESEARCH</w:t>
      </w:r>
    </w:p>
    <w:p>
      <w:pPr>
        <w:pBdr>
          <w:bottom w:val="single" w:color="AAAAAA" w:sz="3" w:space="1"/>
        </w:pBdr>
        <w:spacing w:before="125" w:after="42"/>
      </w:pPr>
      <w:r>
        <w:rPr>
          <w:rFonts w:ascii="Arial" w:cs="Arial" w:eastAsia="Arial" w:hAnsi="Arial"/>
          <w:b/>
          <w:bCs/>
          <w:color w:val="1A1A1A"/>
          <w:sz w:val="20"/>
          <w:szCs w:val="20"/>
        </w:rPr>
        <w:t xml:space="preserve">SUMMARY</w:t>
      </w:r>
    </w:p>
    <w:p>
      <w:pPr>
        <w:spacing w:after="38"/>
      </w:pPr>
      <w:r>
        <w:rPr>
          <w:rFonts w:ascii="Arial" w:cs="Arial" w:eastAsia="Arial" w:hAnsi="Arial"/>
          <w:color w:val="1A1A1A"/>
          <w:sz w:val="19"/>
          <w:szCs w:val="19"/>
        </w:rPr>
        <w:t xml:space="preserve">Research and strategy professional focused on digital money, tokenization, payment-market infrastructure, and financial stability. Founding research hire at Borderless Capital (a registered investment adviser), where I built the digital asset research function from scratch and led a four-analyst team supporting diligence and monitoring across ~250 investments and ~$500M in assets under management. Author of a seven-paper research program on gateway concentration, reserve and custody design, tokenized-product equivalence, and dollar transmission (four papers on SSRN; work submitted to the Fifth Conference on the International Roles of the U.S. Dollar, hosted by the Federal Reserve Board and Federal Reserve Bank of New York, June 2026). Focused on where risk concentrates, who controls routing, and who bears accountability when the system is under stress.</w:t>
      </w:r>
    </w:p>
    <w:p>
      <w:pPr>
        <w:pBdr>
          <w:bottom w:val="single" w:color="AAAAAA" w:sz="3" w:space="1"/>
        </w:pBdr>
        <w:spacing w:before="125" w:after="42"/>
      </w:pPr>
      <w:r>
        <w:rPr>
          <w:rFonts w:ascii="Arial" w:cs="Arial" w:eastAsia="Arial" w:hAnsi="Arial"/>
          <w:b/>
          <w:bCs/>
          <w:color w:val="1A1A1A"/>
          <w:sz w:val="20"/>
          <w:szCs w:val="20"/>
        </w:rPr>
        <w:t xml:space="preserve">EXPERIENCE</w:t>
      </w:r>
    </w:p>
    <w:p>
      <w:pPr>
        <w:tabs>
          <w:tab w:val="right" w:pos="10320"/>
        </w:tabs>
        <w:spacing w:after="28"/>
      </w:pPr>
      <w:r>
        <w:rPr>
          <w:rFonts w:ascii="Arial" w:cs="Arial" w:eastAsia="Arial" w:hAnsi="Arial"/>
          <w:b/>
          <w:bCs/>
          <w:color w:val="1A1A1A"/>
          <w:sz w:val="19"/>
          <w:szCs w:val="19"/>
        </w:rPr>
        <w:t xml:space="preserve">Senior Investment Analyst, Digital Assets</w:t>
      </w:r>
      <w:r>
        <w:rPr>
          <w:rFonts w:ascii="Arial" w:cs="Arial" w:eastAsia="Arial" w:hAnsi="Arial"/>
          <w:color w:val="1A1A1A"/>
          <w:sz w:val="19"/>
          <w:szCs w:val="19"/>
        </w:rPr>
        <w:t xml:space="preserve"> | Borderless Capital (RIA; first hire)</w:t>
      </w:r>
      <w:r>
        <w:rPr>
          <w:rFonts w:ascii="Arial" w:cs="Arial" w:eastAsia="Arial" w:hAnsi="Arial"/>
          <w:sz w:val="19"/>
          <w:szCs w:val="19"/>
        </w:rPr>
        <w:t xml:space="preserve">	</w:t>
      </w:r>
      <w:r>
        <w:rPr>
          <w:rFonts w:ascii="Arial" w:cs="Arial" w:eastAsia="Arial" w:hAnsi="Arial"/>
          <w:i/>
          <w:iCs/>
          <w:color w:val="666666"/>
          <w:sz w:val="19"/>
          <w:szCs w:val="19"/>
        </w:rPr>
        <w:t xml:space="preserve">Dec 2019 – Present</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Led research on stablecoin and tokenized-cash infrastructure: reserve custody and composition, redemption pathways and service-level agreements, settlement finality, concentration and portability risk, and stress-episode behavior across issuers, custodians, and settlement banks. Built a 19-gateway, 51-address Ethereum counterparty registry and multi-chain settlement-flow decomposition to enable gateway-level comparative analysis.</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Developed the </w:t>
      </w:r>
      <w:r>
        <w:rPr>
          <w:rFonts w:ascii="Arial" w:cs="Arial" w:eastAsia="Arial" w:hAnsi="Arial"/>
          <w:b/>
          <w:bCs/>
          <w:color w:val="1A1A1A"/>
          <w:sz w:val="19"/>
          <w:szCs w:val="19"/>
        </w:rPr>
        <w:t xml:space="preserve">Control Layer Intensity Index (CLII)</w:t>
      </w:r>
      <w:r>
        <w:rPr>
          <w:rFonts w:ascii="Arial" w:cs="Arial" w:eastAsia="Arial" w:hAnsi="Arial"/>
          <w:color w:val="1A1A1A"/>
          <w:sz w:val="19"/>
          <w:szCs w:val="19"/>
        </w:rPr>
        <w:t xml:space="preserve">, classifying regulatory intensity across stablecoin gateways (custody segregation, reconciliation integrity, and concentration risk). Applied cointegration testing linking stablecoin supply and Federal Reserve balance-sheet variables across policy regimes; traced SVB cascading contagion and BUSD routing migration through gateway infrastructure. Key finding: gateway concentration rose as volume doubled from 2023 to 2025 while unique counterparties fell 25%, indicating rising systemic dependence on fewer intermediaries.</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Developed the </w:t>
      </w:r>
      <w:r>
        <w:rPr>
          <w:rFonts w:ascii="Arial" w:cs="Arial" w:eastAsia="Arial" w:hAnsi="Arial"/>
          <w:b/>
          <w:bCs/>
          <w:color w:val="1A1A1A"/>
          <w:sz w:val="19"/>
          <w:szCs w:val="19"/>
        </w:rPr>
        <w:t xml:space="preserve">Minimum Viable Equivalence Pack (MVEP)</w:t>
      </w:r>
      <w:r>
        <w:rPr>
          <w:rFonts w:ascii="Arial" w:cs="Arial" w:eastAsia="Arial" w:hAnsi="Arial"/>
          <w:color w:val="1A1A1A"/>
          <w:sz w:val="19"/>
          <w:szCs w:val="19"/>
        </w:rPr>
        <w:t xml:space="preserve">, a nine-category institutional diligence framework for tokenized products covering rights parity, system of record, reconciliation, custody, insolvency posture, settlement finality, exception handling, governance, and disclosures. Both frameworks published on SSRN.</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Built the firm’s digital asset research function from scratch: coverage roadmap, compliance workflows, decision logs with documented assumption registers, and trigger-based monitoring. Led a four-analyst team producing ~25 long-form publications annually, weekly market updates, and investment-committee briefing materials.</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Supported diligence and monitoring across ~250 investments (~$500M AUM, ~10 funds) after sourcing and evaluating 1,000+ opportunities, with research coverage spanning stablecoins, tokenization, decentralized finance, governance, and capital markets structure.</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Forecasted $1B+ on-chain protocol collapse ~12 months early by mapping the causal chain and defining leading indicator thresholds. Prevented hostile governance capture on a top-50 Layer 1 blockchain via voting-path simulation. Identified and corrected circulating-supply misreporting that had propagated to major public data aggregators.</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Translated tokenized-settlement, gateway, and fee-mechanism design questions into supervisory, financial-stability, and monetary-policy terms for senior stakeholders and committee use. Contributed to a Uniswap governance working group on delegation structure, voting mechanics, and protocol fee distribution.</w:t>
      </w:r>
    </w:p>
    <w:p>
      <w:pPr>
        <w:tabs>
          <w:tab w:val="right" w:pos="10320"/>
        </w:tabs>
        <w:spacing w:after="28"/>
      </w:pPr>
      <w:r>
        <w:rPr>
          <w:rFonts w:ascii="Arial" w:cs="Arial" w:eastAsia="Arial" w:hAnsi="Arial"/>
          <w:b/>
          <w:bCs/>
          <w:color w:val="1A1A1A"/>
          <w:sz w:val="19"/>
          <w:szCs w:val="19"/>
        </w:rPr>
        <w:t xml:space="preserve">Analyst Intern</w:t>
      </w:r>
      <w:r>
        <w:rPr>
          <w:rFonts w:ascii="Arial" w:cs="Arial" w:eastAsia="Arial" w:hAnsi="Arial"/>
          <w:color w:val="1A1A1A"/>
          <w:sz w:val="19"/>
          <w:szCs w:val="19"/>
        </w:rPr>
        <w:t xml:space="preserve"> | Greenway Solutions (USAA)</w:t>
      </w:r>
      <w:r>
        <w:rPr>
          <w:rFonts w:ascii="Arial" w:cs="Arial" w:eastAsia="Arial" w:hAnsi="Arial"/>
          <w:sz w:val="19"/>
          <w:szCs w:val="19"/>
        </w:rPr>
        <w:t xml:space="preserve">	</w:t>
      </w:r>
      <w:r>
        <w:rPr>
          <w:rFonts w:ascii="Arial" w:cs="Arial" w:eastAsia="Arial" w:hAnsi="Arial"/>
          <w:i/>
          <w:iCs/>
          <w:color w:val="666666"/>
          <w:sz w:val="19"/>
          <w:szCs w:val="19"/>
        </w:rPr>
        <w:t xml:space="preserve">May – Sep 2016</w:t>
      </w:r>
    </w:p>
    <w:p>
      <w:pPr>
        <w:spacing w:after="28"/>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Benchmarked USAA fraud controls across online, mobile, and call-center channels versus 9 peer U.S. banks; delivered recommendations on funds-availability, wire-transfer, and identity-verification controls.</w:t>
      </w:r>
    </w:p>
    <w:p>
      <w:pPr>
        <w:pBdr>
          <w:bottom w:val="single" w:color="AAAAAA" w:sz="3" w:space="1"/>
        </w:pBdr>
        <w:spacing w:before="125" w:after="42"/>
      </w:pPr>
      <w:r>
        <w:rPr>
          <w:rFonts w:ascii="Arial" w:cs="Arial" w:eastAsia="Arial" w:hAnsi="Arial"/>
          <w:b/>
          <w:bCs/>
          <w:color w:val="1A1A1A"/>
          <w:sz w:val="20"/>
          <w:szCs w:val="20"/>
        </w:rPr>
        <w:t xml:space="preserve">SELECTED RESEARCH</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Routing the Dollar.</w:t>
      </w:r>
      <w:r>
        <w:rPr>
          <w:rFonts w:ascii="Arial" w:cs="Arial" w:eastAsia="Arial" w:hAnsi="Arial"/>
          <w:i/>
          <w:iCs/>
          <w:color w:val="666666"/>
          <w:sz w:val="19"/>
          <w:szCs w:val="19"/>
        </w:rPr>
        <w:t xml:space="preserve"> Submitted, Fed Reserve Board / FRBNY, June 2026. SSRN.</w:t>
      </w:r>
      <w:r>
        <w:rPr>
          <w:rFonts w:ascii="Arial" w:cs="Arial" w:eastAsia="Arial" w:hAnsi="Arial"/>
          <w:color w:val="1A1A1A"/>
          <w:sz w:val="19"/>
          <w:szCs w:val="19"/>
        </w:rPr>
        <w:t xml:space="preserve"> How gateway concentration shapes regime-dependent monetary-policy transmission and operator accountability under stress.</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Minimum Viable Equivalence Packs.</w:t>
      </w:r>
      <w:r>
        <w:rPr>
          <w:rFonts w:ascii="Arial" w:cs="Arial" w:eastAsia="Arial" w:hAnsi="Arial"/>
          <w:i/>
          <w:iCs/>
          <w:color w:val="666666"/>
          <w:sz w:val="19"/>
          <w:szCs w:val="19"/>
        </w:rPr>
        <w:t xml:space="preserve"> SSRN.</w:t>
      </w:r>
      <w:r>
        <w:rPr>
          <w:rFonts w:ascii="Arial" w:cs="Arial" w:eastAsia="Arial" w:hAnsi="Arial"/>
          <w:color w:val="1A1A1A"/>
          <w:sz w:val="19"/>
          <w:szCs w:val="19"/>
        </w:rPr>
        <w:t xml:space="preserve"> Nine-category diligence standard for tokenized products, anchored on the SVB weekend’s cascading infrastructure failures.</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Dollar v3 / The Control Layer War.</w:t>
      </w:r>
      <w:r>
        <w:rPr>
          <w:rFonts w:ascii="Arial" w:cs="Arial" w:eastAsia="Arial" w:hAnsi="Arial"/>
          <w:i/>
          <w:iCs/>
          <w:color w:val="666666"/>
          <w:sz w:val="19"/>
          <w:szCs w:val="19"/>
        </w:rPr>
        <w:t xml:space="preserve"> Published.</w:t>
      </w:r>
      <w:r>
        <w:rPr>
          <w:rFonts w:ascii="Arial" w:cs="Arial" w:eastAsia="Arial" w:hAnsi="Arial"/>
          <w:color w:val="1A1A1A"/>
          <w:sz w:val="19"/>
          <w:szCs w:val="19"/>
        </w:rPr>
        <w:t xml:space="preserve"> How CLARITY and GENIUS provisions attach regulatory obligations to control-layer infrastructure.</w:t>
      </w:r>
    </w:p>
    <w:p>
      <w:pPr>
        <w:pBdr>
          <w:bottom w:val="single" w:color="AAAAAA" w:sz="3" w:space="1"/>
        </w:pBdr>
        <w:spacing w:before="125" w:after="42"/>
      </w:pPr>
      <w:r>
        <w:rPr>
          <w:rFonts w:ascii="Arial" w:cs="Arial" w:eastAsia="Arial" w:hAnsi="Arial"/>
          <w:b/>
          <w:bCs/>
          <w:color w:val="1A1A1A"/>
          <w:sz w:val="20"/>
          <w:szCs w:val="20"/>
        </w:rPr>
        <w:t xml:space="preserve">TECHNICAL</w:t>
      </w:r>
    </w:p>
    <w:p>
      <w:pPr>
        <w:spacing w:after="22"/>
      </w:pPr>
      <w:r>
        <w:rPr>
          <w:rFonts w:ascii="Arial" w:cs="Arial" w:eastAsia="Arial" w:hAnsi="Arial"/>
          <w:b/>
          <w:bCs/>
          <w:color w:val="1A1A1A"/>
          <w:sz w:val="18"/>
          <w:szCs w:val="18"/>
        </w:rPr>
        <w:t xml:space="preserve">Methods: </w:t>
      </w:r>
      <w:r>
        <w:rPr>
          <w:rFonts w:ascii="Arial" w:cs="Arial" w:eastAsia="Arial" w:hAnsi="Arial"/>
          <w:color w:val="1A1A1A"/>
          <w:sz w:val="18"/>
          <w:szCs w:val="18"/>
        </w:rPr>
        <w:t xml:space="preserve">Johansen cointegration / vector error correction, Monte Carlo simulation, concentration analysis (HHI, Gini), mean-reversion and scenario modeling</w:t>
      </w:r>
    </w:p>
    <w:p>
      <w:pPr>
        <w:spacing w:after="22"/>
      </w:pPr>
      <w:r>
        <w:rPr>
          <w:rFonts w:ascii="Arial" w:cs="Arial" w:eastAsia="Arial" w:hAnsi="Arial"/>
          <w:b/>
          <w:bCs/>
          <w:color w:val="1A1A1A"/>
          <w:sz w:val="18"/>
          <w:szCs w:val="18"/>
        </w:rPr>
        <w:t xml:space="preserve">Data: </w:t>
      </w:r>
      <w:r>
        <w:rPr>
          <w:rFonts w:ascii="Arial" w:cs="Arial" w:eastAsia="Arial" w:hAnsi="Arial"/>
          <w:color w:val="1A1A1A"/>
          <w:sz w:val="18"/>
          <w:szCs w:val="18"/>
        </w:rPr>
        <w:t xml:space="preserve">Dune Analytics, Nansen Pro, Artemis, DefiLlama, FRED, CoinGecko, Helius, Spacescope, rated.network, Beaconcha.in</w:t>
      </w:r>
    </w:p>
    <w:p>
      <w:pPr>
        <w:spacing w:after="22"/>
      </w:pPr>
      <w:r>
        <w:rPr>
          <w:rFonts w:ascii="Arial" w:cs="Arial" w:eastAsia="Arial" w:hAnsi="Arial"/>
          <w:b/>
          <w:bCs/>
          <w:color w:val="1A1A1A"/>
          <w:sz w:val="18"/>
          <w:szCs w:val="18"/>
        </w:rPr>
        <w:t xml:space="preserve">Languages: </w:t>
      </w:r>
      <w:r>
        <w:rPr>
          <w:rFonts w:ascii="Arial" w:cs="Arial" w:eastAsia="Arial" w:hAnsi="Arial"/>
          <w:color w:val="1A1A1A"/>
          <w:sz w:val="18"/>
          <w:szCs w:val="18"/>
        </w:rPr>
        <w:t xml:space="preserve">Python (pandas, statsmodels, scipy, matplotlib), SQL (DuneSQL, Trino), JavaScript/TypeScript, Excel</w:t>
      </w:r>
    </w:p>
    <w:p>
      <w:pPr>
        <w:spacing w:after="22"/>
      </w:pPr>
      <w:r>
        <w:rPr>
          <w:rFonts w:ascii="Arial" w:cs="Arial" w:eastAsia="Arial" w:hAnsi="Arial"/>
          <w:b/>
          <w:bCs/>
          <w:color w:val="1A1A1A"/>
          <w:sz w:val="18"/>
          <w:szCs w:val="18"/>
        </w:rPr>
        <w:t xml:space="preserve">Infrastructure: </w:t>
      </w:r>
      <w:r>
        <w:rPr>
          <w:rFonts w:ascii="Arial" w:cs="Arial" w:eastAsia="Arial" w:hAnsi="Arial"/>
          <w:color w:val="1A1A1A"/>
          <w:sz w:val="18"/>
          <w:szCs w:val="18"/>
        </w:rPr>
        <w:t xml:space="preserve">10 custom Python MCP servers (FRED, DefiLlama, CoinGecko, Nansen, etc.), Claude Code, Cursor, Git/GitHub</w:t>
      </w:r>
    </w:p>
    <w:p>
      <w:pPr>
        <w:pBdr>
          <w:bottom w:val="single" w:color="AAAAAA" w:sz="3" w:space="1"/>
        </w:pBdr>
        <w:spacing w:before="130" w:after="45"/>
      </w:pPr>
      <w:r>
        <w:rPr>
          <w:rFonts w:ascii="Arial" w:cs="Arial" w:eastAsia="Arial" w:hAnsi="Arial"/>
          <w:b/>
          <w:bCs/>
          <w:color w:val="1A1A1A"/>
          <w:sz w:val="20"/>
          <w:szCs w:val="20"/>
        </w:rPr>
        <w:t xml:space="preserve">EDUCATION</w:t>
      </w:r>
    </w:p>
    <w:p>
      <w:pPr>
        <w:tabs>
          <w:tab w:val="right" w:pos="10320"/>
        </w:tabs>
        <w:spacing w:after="0"/>
      </w:pPr>
      <w:r>
        <w:rPr>
          <w:rFonts w:ascii="Arial" w:cs="Arial" w:eastAsia="Arial" w:hAnsi="Arial"/>
          <w:b/>
          <w:bCs/>
          <w:color w:val="1A1A1A"/>
          <w:sz w:val="19"/>
          <w:szCs w:val="19"/>
        </w:rPr>
        <w:t xml:space="preserve">High Point University</w:t>
      </w:r>
      <w:r>
        <w:rPr>
          <w:rFonts w:ascii="Arial" w:cs="Arial" w:eastAsia="Arial" w:hAnsi="Arial"/>
          <w:color w:val="1A1A1A"/>
          <w:sz w:val="19"/>
          <w:szCs w:val="19"/>
        </w:rPr>
        <w:t xml:space="preserve"> | B.S.B.A., Business Administration (Magna Cum Laude)</w:t>
      </w:r>
      <w:r>
        <w:rPr>
          <w:rFonts w:ascii="Arial" w:cs="Arial" w:eastAsia="Arial" w:hAnsi="Arial"/>
          <w:sz w:val="19"/>
          <w:szCs w:val="19"/>
        </w:rPr>
        <w:t xml:space="preserve">	</w:t>
      </w:r>
      <w:r>
        <w:rPr>
          <w:rFonts w:ascii="Arial" w:cs="Arial" w:eastAsia="Arial" w:hAnsi="Arial"/>
          <w:i/>
          <w:iCs/>
          <w:color w:val="666666"/>
          <w:sz w:val="19"/>
          <w:szCs w:val="19"/>
        </w:rPr>
        <w:t xml:space="preserve">2018</w:t>
      </w:r>
    </w:p>
    <w:p>
      <w:pPr>
        <w:spacing w:after="0"/>
      </w:pPr>
      <w:r>
        <w:rPr>
          <w:rFonts w:ascii="Arial" w:cs="Arial" w:eastAsia="Arial" w:hAnsi="Arial"/>
          <w:color w:val="444444"/>
          <w:sz w:val="18"/>
          <w:szCs w:val="18"/>
        </w:rPr>
        <w:t xml:space="preserve">Investment Club President | Lingnan University, Hong Kong (Exchange)</w:t>
      </w:r>
    </w:p>
    <w:sectPr>
      <w:pgSz w:w="12240" w:h="15840" w:orient="portrait"/>
      <w:pgMar w:top="560" w:right="960" w:bottom="44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2mfd3v9zedjhok7kvcpb" Type="http://schemas.openxmlformats.org/officeDocument/2006/relationships/hyperlink" Target="https://tokenization.systems" TargetMode="External"/><Relationship Id="rIdv0hbkaxebreghp0ezpgrj" Type="http://schemas.openxmlformats.org/officeDocument/2006/relationships/hyperlink" Target="https://linkedin.com/in/zachzukowski" TargetMode="External"/><Relationship Id="rId-mewv3mts_6gjgvfbxlil" Type="http://schemas.openxmlformats.org/officeDocument/2006/relationships/hyperlink" Target="https://papers.ssrn.com/sol3/cf_dev/AbsByAuth.cfm?per_id=7810362"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2026-03-25T00:23:39.603Z</dcterms:created>
  <dcterms:modified xsi:type="dcterms:W3CDTF">2026-03-25T00:23:39.604Z</dcterms:modified>
</cp:coreProperties>
</file>

<file path=docProps/custom.xml><?xml version="1.0" encoding="utf-8"?>
<Properties xmlns="http://schemas.openxmlformats.org/officeDocument/2006/custom-properties" xmlns:vt="http://schemas.openxmlformats.org/officeDocument/2006/docPropsVTypes"/>
</file>