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8"/>
          <w:szCs w:val="38"/>
        </w:rPr>
        <w:t xml:space="preserve">Zach Zukowski</w:t>
      </w:r>
    </w:p>
    <w:p>
      <w:pPr>
        <w:spacing w:after="10"/>
        <w:jc w:val="center"/>
      </w:pPr>
      <w:r>
        <w:rPr>
          <w:rFonts w:ascii="Arial" w:cs="Arial" w:eastAsia="Arial" w:hAnsi="Arial"/>
          <w:color w:val="444444"/>
          <w:sz w:val="18"/>
          <w:szCs w:val="18"/>
        </w:rPr>
        <w:t xml:space="preserve">Orlando, FL | Zach@Tokenization.Systems | 407-536-8625</w:t>
      </w:r>
    </w:p>
    <w:p>
      <w:pPr>
        <w:spacing w:after="55"/>
        <w:jc w:val="center"/>
      </w:pPr>
      <w:hyperlink w:history="1" r:id="rIdtk3pkbjp0bnea-khivcha">
        <w:r>
          <w:rPr>
            <w:rFonts w:ascii="Arial" w:cs="Arial" w:eastAsia="Arial" w:hAnsi="Arial"/>
            <w:color w:val="2255AA"/>
            <w:sz w:val="18"/>
            <w:szCs w:val="18"/>
          </w:rPr>
          <w:t xml:space="preserve">Tokenization.Systems</w:t>
        </w:r>
      </w:hyperlink>
      <w:r>
        <w:rPr>
          <w:rFonts w:ascii="Arial" w:cs="Arial" w:eastAsia="Arial" w:hAnsi="Arial"/>
          <w:color w:val="444444"/>
          <w:sz w:val="18"/>
          <w:szCs w:val="18"/>
        </w:rPr>
        <w:t xml:space="preserve">  |  </w:t>
      </w:r>
      <w:hyperlink w:history="1" r:id="rIdnnxna0daueqz2sdxissom">
        <w:r>
          <w:rPr>
            <w:rFonts w:ascii="Arial" w:cs="Arial" w:eastAsia="Arial" w:hAnsi="Arial"/>
            <w:color w:val="2255AA"/>
            <w:sz w:val="18"/>
            <w:szCs w:val="18"/>
          </w:rPr>
          <w:t xml:space="preserve">LinkedIn</w:t>
        </w:r>
      </w:hyperlink>
      <w:r>
        <w:rPr>
          <w:rFonts w:ascii="Arial" w:cs="Arial" w:eastAsia="Arial" w:hAnsi="Arial"/>
          <w:color w:val="444444"/>
          <w:sz w:val="18"/>
          <w:szCs w:val="18"/>
        </w:rPr>
        <w:t xml:space="preserve">  |  </w:t>
      </w:r>
      <w:hyperlink w:history="1" r:id="rIdrdmpe-g4zsyvawvrrkisd">
        <w:r>
          <w:rPr>
            <w:rFonts w:ascii="Arial" w:cs="Arial" w:eastAsia="Arial" w:hAnsi="Arial"/>
            <w:color w:val="2255AA"/>
            <w:sz w:val="18"/>
            <w:szCs w:val="18"/>
          </w:rPr>
          <w:t xml:space="preserve">SSRN</w:t>
        </w:r>
      </w:hyperlink>
    </w:p>
    <w:p>
      <w:pPr>
        <w:spacing w:after="15"/>
        <w:jc w:val="center"/>
      </w:pPr>
      <w:r>
        <w:rPr>
          <w:rFonts w:ascii="Arial" w:cs="Arial" w:eastAsia="Arial" w:hAnsi="Arial"/>
          <w:b/>
          <w:bCs/>
          <w:color w:val="1A1A1A"/>
          <w:sz w:val="22"/>
          <w:szCs w:val="22"/>
        </w:rPr>
        <w:t>AI GOVERNANCE · CONTROL-LAYER ACCOUNTABILITY · DILIGENCE FRAMEWORKS</w:t>
      </w:r>
    </w:p>
    <w:p>
      <w:pPr>
        <w:spacing w:after="10"/>
        <w:jc w:val="center"/>
      </w:pPr>
      <w:r>
        <w:rPr>
          <w:b w:val="0"/>
          <w:i w:val="0"/>
          <w:sz w:val="17"/>
        </w:rPr>
        <w:t>· Digital assets since 2016 (10 years) · 22 MCP + API connections · Diligence⁠-⁠doc review 4hr to 1hr</w:t>
        <w:br/>
        <w:t>· 8 SSRN papers · 14 federal comment letters · FSB AI consultation response</w:t>
        <w:br/>
        <w:t>· 16 USPTO patent applications across 8 families (Canonical⁠-⁠State Architecture for multi⁠-⁠agent AI research)</w:t>
      </w:r>
    </w:p>
    <w:p>
      <w:pPr>
        <w:pBdr>
          <w:bottom w:val="single" w:color="AAAAAA" w:sz="3" w:space="1"/>
        </w:pBdr>
        <w:spacing w:before="280" w:after="120"/>
      </w:pPr>
      <w:r>
        <w:rPr>
          <w:rFonts w:ascii="Arial" w:cs="Arial" w:eastAsia="Arial" w:hAnsi="Arial"/>
          <w:b/>
          <w:bCs/>
          <w:color w:val="1A1A1A"/>
          <w:sz w:val="19"/>
          <w:szCs w:val="19"/>
        </w:rPr>
        <w:t xml:space="preserve">SUMMARY</w:t>
      </w:r>
    </w:p>
    <w:p>
      <w:pPr>
        <w:spacing w:after="40" w:before="160"/>
      </w:pPr>
      <w:r>
        <w:rPr>
          <w:rFonts w:ascii="Arial" w:cs="Arial" w:eastAsia="Arial" w:hAnsi="Arial"/>
          <w:color w:val="1A1A1A"/>
          <w:sz w:val="18"/>
          <w:szCs w:val="18"/>
        </w:rPr>
        <w:t>Ten years in digital assets: independent protocol research from Jul 2016, institutional practice from Dec 2019. 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8"/>
          <w:szCs w:val="18"/>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19"/>
          <w:szCs w:val="19"/>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6">
        <w:r>
          <w:rPr>
            <w:rStyle w:val="Hyperlink"/>
          </w:rPr>
          <w:t xml:space="preserve">Control Layer Intensity Index</w:t>
        </w:r>
      </w:hyperlink>
      <w:r>
        <w:t xml:space="preserve"> (CLII) for gateway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xml:space="preserve">), </w:t>
      </w:r>
      <w:hyperlink r:id="rId10">
        <w:r>
          <w:rPr>
            <w:rStyle w:val="Hyperlink"/>
          </w:rPr>
          <w:t xml:space="preserve">governance concentration</w:t>
        </w:r>
      </w:hyperlink>
      <w:r>
        <w:t xml:space="preserve">, and </w:t>
      </w:r>
      <w:hyperlink r:id="rId11">
        <w:r>
          <w:rPr>
            <w:rStyle w:val="Hyperlink"/>
          </w:rPr>
          <w:t xml:space="preserve">operational risk in token economies</w:t>
        </w:r>
      </w:hyperlink>
      <w:r>
        <w:t>.</w:t>
      </w:r>
    </w:p>
    <w:p>
      <w:pPr>
        <w:spacing w:after="36"/>
        <w:ind w:left="320" w:hanging="160"/>
      </w:pPr>
      <w:r>
        <w:t xml:space="preserve">• Contributed fourteen comment letters across a federal regulatory program (OCC bank stablecoin engagement </w:t>
      </w:r>
      <w:hyperlink r:id="rId12">
        <w:r>
          <w:rPr>
            <w:rStyle w:val="Hyperlink"/>
          </w:rPr>
          <w:t xml:space="preserve">RIN 1557-AF41</w:t>
        </w:r>
      </w:hyperlink>
      <w:r>
        <w:t xml:space="preserve"> plus </w:t>
      </w:r>
      <w:hyperlink r:id="rId13">
        <w:r>
          <w:rPr>
            <w:rStyle w:val="Hyperlink"/>
          </w:rPr>
          <w:t xml:space="preserve">supplemental control-layer extension</w:t>
        </w:r>
      </w:hyperlink>
      <w:r>
        <w:t xml:space="preserve">; </w:t>
      </w:r>
      <w:hyperlink r:id="rId14">
        <w:r>
          <w:rPr>
            <w:rStyle w:val="Hyperlink"/>
          </w:rPr>
          <w:t xml:space="preserve">Treasury GENIUS Act state similarity</w:t>
        </w:r>
      </w:hyperlink>
      <w:r>
        <w:t xml:space="preserve">; FDIC payment-stablecoin reserve standards </w:t>
      </w:r>
      <w:hyperlink r:id="rId15">
        <w:r>
          <w:rPr>
            <w:rStyle w:val="Hyperlink"/>
          </w:rPr>
          <w:t xml:space="preserve">RIN 3064-AG19</w:t>
        </w:r>
      </w:hyperlink>
      <w:r>
        <w:t xml:space="preserve"> and stablecoin-subsidiary issuance approvals </w:t>
      </w:r>
      <w:hyperlink r:id="rId16">
        <w:r>
          <w:rPr>
            <w:rStyle w:val="Hyperlink"/>
          </w:rPr>
          <w:t xml:space="preserve">RIN 3064-AG20</w:t>
        </w:r>
      </w:hyperlink>
      <w:r>
        <w:t xml:space="preserve">; FinCEN AML/CFT </w:t>
      </w:r>
      <w:hyperlink r:id="rId17">
        <w:r>
          <w:rPr>
            <w:rStyle w:val="Hyperlink"/>
          </w:rPr>
          <w:t xml:space="preserve">FINCEN-2026-0034</w:t>
        </w:r>
      </w:hyperlink>
      <w:r>
        <w:t xml:space="preserve">; FinCEN-OFAC PPSI sanctions </w:t>
      </w:r>
      <w:hyperlink r:id="rId18">
        <w:r>
          <w:rPr>
            <w:rStyle w:val="Hyperlink"/>
          </w:rPr>
          <w:t xml:space="preserve">FINCEN-2026-0100</w:t>
        </w:r>
      </w:hyperlink>
      <w:r>
        <w:t xml:space="preserve">; joint banking AML/CFT </w:t>
      </w:r>
      <w:hyperlink r:id="rId19">
        <w:r>
          <w:rPr>
            <w:rStyle w:val="Hyperlink"/>
          </w:rPr>
          <w:t xml:space="preserve">91 FR 18304</w:t>
        </w:r>
      </w:hyperlink>
      <w:r>
        <w:t xml:space="preserve">); first international standard-setter filing: </w:t>
      </w:r>
      <w:hyperlink r:id="rId20">
        <w:r>
          <w:rPr>
            <w:rStyle w:val="Hyperlink"/>
          </w:rPr>
          <w:t xml:space="preserve">FSB AI Sound Practices consultation response</w:t>
        </w:r>
      </w:hyperlink>
      <w:r>
        <w:t xml:space="preserve"> (Jul 2026), the first external deployment of the MVEP-AI / CLII-AI operator-accountability stack; </w:t>
      </w:r>
      <w:hyperlink r:id="rId21">
        <w:r>
          <w:rPr>
            <w:rStyle w:val="Hyperlink"/>
          </w:rPr>
          <w:t xml:space="preserve">Routing the Dollar</w:t>
        </w:r>
      </w:hyperlink>
      <w:r>
        <w:t xml:space="preserve"> submitted to the Federal Reserve Fifth Conference on the Dollar's International Roles (Jun 2026); </w:t>
      </w:r>
      <w:hyperlink r:id="rId10">
        <w:r>
          <w:rPr>
            <w:rStyle w:val="Hyperlink"/>
          </w:rPr>
          <w:t xml:space="preserve">Governance Concentration</w:t>
        </w:r>
      </w:hyperlink>
      <w:r>
        <w:t xml:space="preserve"> accepted for publication at Frontiers in Blockchain.</w:t>
      </w:r>
    </w:p>
    <w:p>
      <w:pPr>
        <w:spacing w:after="36"/>
        <w:ind w:left="320" w:hanging="160"/>
      </w:pPr>
      <w:r>
        <w:t>• Working dialogue with capital-markets infrastructure operators on stablecoin, deposit-token, tokenized-deposit,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keepNext/>
        <w:tabs>
          <w:tab w:val="right" w:pos="10320"/>
        </w:tabs>
        <w:spacing w:after="40" w:before="160"/>
      </w:pPr>
      <w:r>
        <w:rPr>
          <w:b/>
        </w:rPr>
        <w:t>Blockchain Research Analyst (Independent)</w:t>
      </w:r>
      <w:r>
        <w:t xml:space="preserve"> · Self-Employed</w:t>
      </w:r>
      <w:r>
        <w:tab/>
      </w:r>
      <w:r>
        <w:rPr>
          <w:i/>
        </w:rPr>
        <w:t>Jul 2016 to Present</w:t>
      </w:r>
    </w:p>
    <w:p>
      <w:pPr>
        <w:keepLines/>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keepLines/>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keepLines/>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9"/>
          <w:szCs w:val="19"/>
        </w:rPr>
        <w:t xml:space="preserve">SELECTED RESEARCH</w:t>
      </w:r>
    </w:p>
    <w:p>
      <w:pPr>
        <w:spacing w:after="28"/>
        <w:ind w:left="320" w:hanging="160"/>
      </w:pPr>
      <w:r>
        <w:t xml:space="preserve">• </w:t>
      </w:r>
      <w:r>
        <w:rPr>
          <w:b/>
        </w:rPr>
        <w:t>Canonical-State Architecture.</w:t>
      </w:r>
      <w:r>
        <w:t xml:space="preserve"> Filed sixteen US provisional patent applications in 2026: a five-element coordination system for concurrent AI-agent sessions on a shared version-controlled repository, integrating per-session staging-index isolation, a multi-mode verification engine, a commit-time canonical-state coherence gate, recursive self-validation of discipline codifications, and an operator-confirmed promotion gate; validated across ~9,600 commits and 16 or more parallel AI coding sessions over ~4 months (as of 2026-07-15), with a companion 73-page methodology preprint. The applications extend the architecture to role-routed cross-session coordination, actual-touched-file collision detection, and a self-describing verification registry, plus separate applications for evidence-grounding of AI-generated assessments and cited values.</w:t>
      </w:r>
    </w:p>
    <w:p>
      <w:pPr>
        <w:spacing w:after="28"/>
        <w:ind w:left="320" w:hanging="160"/>
      </w:pPr>
      <w:r>
        <w:t xml:space="preserve">• </w:t>
      </w:r>
      <w:hyperlink r:id="rId10">
        <w:r>
          <w:rPr>
            <w:rStyle w:val="Hyperlink"/>
            <w:b/>
          </w:rPr>
          <w:t xml:space="preserve">Auditing Governance Concentration Beyond Token Allocation.</w:t>
        </w:r>
      </w:hyperlink>
      <w:r>
        <w:t xml:space="preserve"> Accepted for publication at Frontiers in Blockchain.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8">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1">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0">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19"/>
          <w:szCs w:val="19"/>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 n8n, Apify, Git / GitHub</w:t>
      </w:r>
    </w:p>
    <w:p>
      <w:pPr>
        <w:pBdr>
          <w:bottom w:val="single" w:color="AAAAAA" w:sz="3" w:space="1"/>
        </w:pBdr>
        <w:spacing w:before="280" w:after="120"/>
      </w:pPr>
      <w:r>
        <w:rPr>
          <w:rFonts w:ascii="Arial" w:cs="Arial" w:eastAsia="Arial" w:hAnsi="Arial"/>
          <w:b/>
          <w:bCs/>
          <w:color w:val="1A1A1A"/>
          <w:sz w:val="19"/>
          <w:szCs w:val="19"/>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2">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9"/>
          <w:szCs w:val="19"/>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8"/>
        <w:szCs w:val="18"/>
      </w:rPr>
    </w:rPrDefault>
    <w:pPrDefault/>
  </w:docDefaults>
  <w:style w:type="paragraph" w:styleId="Title">
    <w:name w:val="Title"/>
    <w:basedOn w:val="Normal"/>
    <w:next w:val="Normal"/>
    <w:qFormat/>
    <w:rPr>
      <w:sz w:val="54"/>
      <w:szCs w:val="54"/>
    </w:rPr>
  </w:style>
  <w:style w:type="paragraph" w:styleId="Heading1">
    <w:name w:val="Heading 1"/>
    <w:basedOn w:val="Normal"/>
    <w:next w:val="Normal"/>
    <w:qFormat/>
    <w:rPr>
      <w:color w:val="2E74B5"/>
      <w:sz w:val="31"/>
      <w:szCs w:val="31"/>
    </w:rPr>
  </w:style>
  <w:style w:type="paragraph" w:styleId="Heading2">
    <w:name w:val="Heading 2"/>
    <w:basedOn w:val="Normal"/>
    <w:next w:val="Normal"/>
    <w:qFormat/>
    <w:rPr>
      <w:color w:val="2E74B5"/>
      <w:sz w:val="25"/>
      <w:szCs w:val="25"/>
    </w:rPr>
  </w:style>
  <w:style w:type="paragraph" w:styleId="Heading3">
    <w:name w:val="Heading 3"/>
    <w:basedOn w:val="Normal"/>
    <w:next w:val="Normal"/>
    <w:qFormat/>
    <w:rPr>
      <w:color w:val="1F4D78"/>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9"/>
      <w:szCs w:val="19"/>
    </w:rPr>
  </w:style>
  <w:style w:type="character" w:styleId="FootnoteTextChar">
    <w:name w:val="Footnote Text Char"/>
    <w:basedOn w:val="DefaultParagraphFont"/>
    <w:link w:val="FootnoteText"/>
    <w:uiPriority w:val="99"/>
    <w:semiHidden/>
    <w:unhideWhenUsed/>
    <w:rPr>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control-layer-w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papers/governance-concentration/" TargetMode="External"/><Relationship Id="rId11" Type="http://schemas.openxmlformats.org/officeDocument/2006/relationships/hyperlink" Target="https://tokenization.systems/papers/operational-risk/" TargetMode="External"/><Relationship Id="rId12" Type="http://schemas.openxmlformats.org/officeDocument/2006/relationships/hyperlink" Target="https://tokenization.systems/letters/occ-mvep-v4/" TargetMode="External"/><Relationship Id="rId13" Type="http://schemas.openxmlformats.org/officeDocument/2006/relationships/hyperlink" Target="https://tokenization.systems/letters/occ-supplemental/" TargetMode="External"/><Relationship Id="rId14" Type="http://schemas.openxmlformats.org/officeDocument/2006/relationships/hyperlink" Target="https://tokenization.systems/letters/treasury-genius-state-similarity/" TargetMode="External"/><Relationship Id="rId15" Type="http://schemas.openxmlformats.org/officeDocument/2006/relationships/hyperlink" Target="https://tokenization.systems/letters/fdic-ag19-ppsi-activities/" TargetMode="External"/><Relationship Id="rId16" Type="http://schemas.openxmlformats.org/officeDocument/2006/relationships/hyperlink" Target="https://tokenization.systems/letters/fdic-ag20-ppsi-application/" TargetMode="External"/><Relationship Id="rId17" Type="http://schemas.openxmlformats.org/officeDocument/2006/relationships/hyperlink" Target="https://tokenization.systems/letters/fincen-aml-cft/" TargetMode="External"/><Relationship Id="rId18" Type="http://schemas.openxmlformats.org/officeDocument/2006/relationships/hyperlink" Target="https://tokenization.systems/letters/fincen-ofac-ppsi-sanctions/" TargetMode="External"/><Relationship Id="rId19" Type="http://schemas.openxmlformats.org/officeDocument/2006/relationships/hyperlink" Target="https://tokenization.systems/letters/banking-agencies-joint-aml/" TargetMode="External"/><Relationship Id="rId20" Type="http://schemas.openxmlformats.org/officeDocument/2006/relationships/hyperlink" Target="https://tokenization.systems/letters/fsb-ai-sound-practices/" TargetMode="External"/><Relationship Id="rId21" Type="http://schemas.openxmlformats.org/officeDocument/2006/relationships/hyperlink" Target="https://tokenization.systems/papers/routing-the-dollar/" TargetMode="External"/><Relationship Id="rId22" Type="http://schemas.openxmlformats.org/officeDocument/2006/relationships/hyperlink" Target="https://medium.com/borderless-capital/introduction-to-tokenomics-c7af75c09bfe"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