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6"/>
          <w:szCs w:val="36"/>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w:history="1" r:id="rIdtk3pkbjp0bnea-khivcha">
        <w:r>
          <w:rPr>
            <w:rFonts w:ascii="Arial" w:cs="Arial" w:eastAsia="Arial" w:hAnsi="Arial"/>
            <w:color w:val="2255AA"/>
            <w:sz w:val="16"/>
            <w:szCs w:val="16"/>
          </w:rPr>
          <w:t xml:space="preserve">Tokenization.Systems</w:t>
        </w:r>
      </w:hyperlink>
      <w:r>
        <w:rPr>
          <w:rFonts w:ascii="Arial" w:cs="Arial" w:eastAsia="Arial" w:hAnsi="Arial"/>
          <w:color w:val="444444"/>
          <w:sz w:val="16"/>
          <w:szCs w:val="16"/>
        </w:rPr>
        <w:t xml:space="preserve">  |  </w:t>
      </w:r>
      <w:hyperlink w:history="1" r:id="rIdnnxna0daueqz2sdxissom">
        <w:r>
          <w:rPr>
            <w:rFonts w:ascii="Arial" w:cs="Arial" w:eastAsia="Arial" w:hAnsi="Arial"/>
            <w:color w:val="2255AA"/>
            <w:sz w:val="16"/>
            <w:szCs w:val="16"/>
          </w:rPr>
          <w:t xml:space="preserve">LinkedIn</w:t>
        </w:r>
      </w:hyperlink>
      <w:r>
        <w:rPr>
          <w:rFonts w:ascii="Arial" w:cs="Arial" w:eastAsia="Arial" w:hAnsi="Arial"/>
          <w:color w:val="444444"/>
          <w:sz w:val="16"/>
          <w:szCs w:val="16"/>
        </w:rPr>
        <w:t xml:space="preserve">  |  </w:t>
      </w:r>
      <w:hyperlink w:history="1" r:id="rIdrdmpe-g4zsyvawvrrkisd">
        <w:r>
          <w:rPr>
            <w:rFonts w:ascii="Arial" w:cs="Arial" w:eastAsia="Arial" w:hAnsi="Arial"/>
            <w:color w:val="2255AA"/>
            <w:sz w:val="16"/>
            <w:szCs w:val="16"/>
          </w:rPr>
          <w:t xml:space="preserve">SSRN</w:t>
        </w:r>
      </w:hyperlink>
    </w:p>
    <w:p>
      <w:pPr>
        <w:spacing w:after="15"/>
        <w:jc w:val="center"/>
      </w:pPr>
      <w:r>
        <w:rPr>
          <w:rFonts w:ascii="Arial" w:cs="Arial" w:eastAsia="Arial" w:hAnsi="Arial"/>
          <w:b/>
          <w:bCs/>
          <w:color w:val="1A1A1A"/>
          <w:sz w:val="20"/>
          <w:szCs w:val="20"/>
        </w:rPr>
        <w:t>STABLECOIN POLICY · REGULATORY TRANSLATION · FEDERAL COMMENT LETTERS</w:t>
      </w:r>
    </w:p>
    <w:p>
      <w:pPr>
        <w:spacing w:after="10"/>
        <w:jc w:val="center"/>
      </w:pPr>
      <w:r>
        <w:rPr>
          <w:b w:val="0"/>
          <w:i w:val="0"/>
          <w:sz w:val="16"/>
        </w:rPr>
        <w:t>· Digital assets since 2016 (10 years) · 14 federal comment letters · FSB AI consultation response · 8 SSRN papers · Dialogues across national security think tanks, securities exchanges, Central Securities Depositories, payments messaging, tier⁠-⁠1 banks, SEC⁠-⁠registered transfer agents</w:t>
        <w:br/>
        <w:t>· 16 USPTO patent applications across 8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40" w:before="160"/>
      </w:pPr>
      <w:r>
        <w:rPr>
          <w:rFonts w:ascii="Arial" w:cs="Arial" w:eastAsia="Arial" w:hAnsi="Arial"/>
          <w:color w:val="1A1A1A"/>
          <w:sz w:val="16"/>
          <w:szCs w:val="16"/>
        </w:rPr>
        <w:t>Ten years in digital assets: independent protocol research from Jul 2016, institutional practice from Dec 2019. Stablecoin policy and regulatory-strategy lead who translates banking and payments rulemaking into reserve, routing, and compliance positions, from federal dockets to capital-markets infrastructure. Founder of Tokenization Systems; first hire at Borderless Capital, an RIA.</w:t>
      </w:r>
    </w:p>
    <w:p>
      <w:pPr>
        <w:spacing w:after="38"/>
      </w:pPr>
      <w:r>
        <w:rPr>
          <w:rFonts w:ascii="Arial" w:cs="Arial" w:eastAsia="Arial" w:hAnsi="Arial"/>
          <w:color w:val="1A1A1A"/>
          <w:sz w:val="16"/>
          <w:szCs w:val="16"/>
        </w:rPr>
        <w:t>Focus: stablecoin and payments policy, bank versus money-transmitter charter equivalence, reserve and AML/CFT standards, regulatory translation · OCC, FDIC, FinCEN, OFAC, Treasury GENIUS, CLARITY, MiCA, Singapore MAS.</w:t>
      </w:r>
    </w:p>
    <w:p>
      <w:pPr>
        <w:pBdr>
          <w:bottom w:val="single" w:color="AAAAAA" w:sz="3" w:space="1"/>
        </w:pBdr>
        <w:spacing w:before="280" w:after="120"/>
      </w:pPr>
      <w:r>
        <w:rPr>
          <w:rFonts w:ascii="Arial" w:cs="Arial" w:eastAsia="Arial" w:hAnsi="Arial"/>
          <w:b/>
          <w:bCs/>
          <w:color w:val="1A1A1A"/>
          <w:sz w:val="17"/>
          <w:szCs w:val="17"/>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Contributed fourteen comment letters across a federal regulatory program (OCC bank stablecoin engagement </w:t>
      </w:r>
      <w:hyperlink r:id="rId6">
        <w:r>
          <w:rPr>
            <w:rStyle w:val="Hyperlink"/>
          </w:rPr>
          <w:t xml:space="preserve">RIN 1557-AF41</w:t>
        </w:r>
      </w:hyperlink>
      <w:r>
        <w:t xml:space="preserve"> plus </w:t>
      </w:r>
      <w:hyperlink r:id="rId7">
        <w:r>
          <w:rPr>
            <w:rStyle w:val="Hyperlink"/>
          </w:rPr>
          <w:t xml:space="preserve">supplemental control-layer extension</w:t>
        </w:r>
      </w:hyperlink>
      <w:r>
        <w:t xml:space="preserve">; </w:t>
      </w:r>
      <w:hyperlink r:id="rId8">
        <w:r>
          <w:rPr>
            <w:rStyle w:val="Hyperlink"/>
          </w:rPr>
          <w:t xml:space="preserve">Treasury GENIUS Act state similarity</w:t>
        </w:r>
      </w:hyperlink>
      <w:r>
        <w:t xml:space="preserve">; FDIC payment-stablecoin reserve standards </w:t>
      </w:r>
      <w:hyperlink r:id="rId10">
        <w:r>
          <w:rPr>
            <w:rStyle w:val="Hyperlink"/>
          </w:rPr>
          <w:t xml:space="preserve">RIN 3064-AG19</w:t>
        </w:r>
      </w:hyperlink>
      <w:r>
        <w:t xml:space="preserve"> and stablecoin-subsidiary issuance approvals </w:t>
      </w:r>
      <w:hyperlink r:id="rId11">
        <w:r>
          <w:rPr>
            <w:rStyle w:val="Hyperlink"/>
          </w:rPr>
          <w:t xml:space="preserve">RIN 3064-AG20</w:t>
        </w:r>
      </w:hyperlink>
      <w:r>
        <w:t xml:space="preserve">; FinCEN AML/CFT </w:t>
      </w:r>
      <w:hyperlink r:id="rId12">
        <w:r>
          <w:rPr>
            <w:rStyle w:val="Hyperlink"/>
          </w:rPr>
          <w:t xml:space="preserve">FINCEN-2026-0034</w:t>
        </w:r>
      </w:hyperlink>
      <w:r>
        <w:t xml:space="preserve">; FinCEN-OFAC PPSI sanctions </w:t>
      </w:r>
      <w:hyperlink r:id="rId13">
        <w:r>
          <w:rPr>
            <w:rStyle w:val="Hyperlink"/>
          </w:rPr>
          <w:t xml:space="preserve">FINCEN-2026-0100</w:t>
        </w:r>
      </w:hyperlink>
      <w:r>
        <w:t xml:space="preserve">; joint banking AML/CFT </w:t>
      </w:r>
      <w:hyperlink r:id="rId14">
        <w:r>
          <w:rPr>
            <w:rStyle w:val="Hyperlink"/>
          </w:rPr>
          <w:t xml:space="preserve">91 FR 18304</w:t>
        </w:r>
      </w:hyperlink>
      <w:r>
        <w:t xml:space="preserve">); first international standard-setter filing: </w:t>
      </w:r>
      <w:hyperlink r:id="rId15">
        <w:r>
          <w:rPr>
            <w:rStyle w:val="Hyperlink"/>
          </w:rPr>
          <w:t xml:space="preserve">FSB AI Sound Practices consultation response</w:t>
        </w:r>
      </w:hyperlink>
      <w:r>
        <w:t xml:space="preserve"> (Jul 2026), applying the MVEP-AI / CLII-AI operator-accountability extensions.</w:t>
      </w:r>
    </w:p>
    <w:p>
      <w:pPr>
        <w:spacing w:after="36"/>
        <w:ind w:left="320" w:hanging="160"/>
      </w:pPr>
      <w:r>
        <w:t xml:space="preserve">• </w:t>
      </w:r>
      <w:hyperlink r:id="rId16">
        <w:r>
          <w:rPr>
            <w:rStyle w:val="Hyperlink"/>
          </w:rPr>
          <w:t xml:space="preserve">Routing the Dollar</w:t>
        </w:r>
      </w:hyperlink>
      <w:r>
        <w:t xml:space="preserve"> prepared for the Federal Reserve Fifth Conference on the Dollar's International Roles (Jun 2026); </w:t>
      </w:r>
      <w:hyperlink r:id="rId17">
        <w:r>
          <w:rPr>
            <w:rStyle w:val="Hyperlink"/>
          </w:rPr>
          <w:t xml:space="preserve">Governance Concentration</w:t>
        </w:r>
      </w:hyperlink>
      <w:r>
        <w:t xml:space="preserve"> accepted for publication at Frontiers in Blockchain.</w:t>
      </w:r>
    </w:p>
    <w:p>
      <w:pPr>
        <w:spacing w:after="36"/>
        <w:ind w:left="320" w:hanging="160"/>
      </w:pPr>
      <w:r>
        <w:t xml:space="preserve">• Authored an eight-paper SSRN-live research program covering the </w:t>
      </w:r>
      <w:hyperlink r:id="rId18">
        <w:r>
          <w:rPr>
            <w:rStyle w:val="Hyperlink"/>
          </w:rPr>
          <w:t xml:space="preserve">Control Layer Intensity Index</w:t>
        </w:r>
      </w:hyperlink>
      <w:r>
        <w:t xml:space="preserve"> (CLII) for gateway concentration, the </w:t>
      </w:r>
      <w:hyperlink r:id="rId19">
        <w:r>
          <w:rPr>
            <w:rStyle w:val="Hyperlink"/>
          </w:rPr>
          <w:t xml:space="preserve">Minimum Viable Equivalence Pack</w:t>
        </w:r>
      </w:hyperlink>
      <w:r>
        <w:t xml:space="preserve"> (MVEP) for institutional tokenization diligence, programmable monetary-policy design (</w:t>
      </w:r>
      <w:hyperlink r:id="rId20">
        <w:r>
          <w:rPr>
            <w:rStyle w:val="Hyperlink"/>
          </w:rPr>
          <w:t xml:space="preserve">Adaptive Tokenomics</w:t>
        </w:r>
      </w:hyperlink>
      <w:r>
        <w:t xml:space="preserve">), </w:t>
      </w:r>
      <w:hyperlink r:id="rId17">
        <w:r>
          <w:rPr>
            <w:rStyle w:val="Hyperlink"/>
          </w:rPr>
          <w:t xml:space="preserve">governance concentration</w:t>
        </w:r>
      </w:hyperlink>
      <w:r>
        <w:t xml:space="preserve">, and </w:t>
      </w:r>
      <w:hyperlink r:id="rId2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Regulatory Engagement</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Engaged in working-level dialogues on stablecoin and tokenization deployment across U.S. national-security research, major securities exchanges, central securities depositories, global payments messaging infrastructure, tier-1 bank tokenization platforms, and SEC-registered transfer agents.</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tabs>
          <w:tab w:val="right" w:pos="10320"/>
        </w:tabs>
        <w:spacing w:after="20" w:before="80"/>
        <w:ind w:left="0" w:firstLine="0"/>
      </w:pPr>
      <w:r>
        <w:rPr>
          <w:b/>
          <w:i/>
        </w:rPr>
        <w:t>Market-Structure Diligence</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subsidy-to-revenue trajectories, and governance concentration under wide scenario ranges; supply-equilibrium and slashing dynamics supporting Layer 1 mechanism-design advisory.</w:t>
      </w:r>
    </w:p>
    <w:p>
      <w:pPr>
        <w:tabs>
          <w:tab w:val="right" w:pos="10320"/>
        </w:tabs>
        <w:spacing w:after="20" w:before="80"/>
        <w:ind w:left="0" w:firstLine="0"/>
      </w:pPr>
      <w:r>
        <w:rPr>
          <w:b/>
          <w:i/>
        </w:rPr>
        <w:t>Capital Deployment</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built AI tool that cut subscription review from 4hr to 1hr per deal.</w:t>
      </w:r>
    </w:p>
    <w:p>
      <w:pPr>
        <w:tabs>
          <w:tab w:val="right" w:pos="10320"/>
        </w:tabs>
        <w:spacing w:after="20" w:before="80"/>
        <w:ind w:left="0" w:firstLine="0"/>
      </w:pPr>
      <w:r>
        <w:rPr>
          <w:b/>
          <w:i/>
        </w:rPr>
        <w:t>Advisory &amp; Education</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keepNext/>
        <w:tabs>
          <w:tab w:val="right" w:pos="10320"/>
        </w:tabs>
        <w:spacing w:after="40" w:before="160"/>
      </w:pPr>
      <w:r>
        <w:rPr>
          <w:b/>
        </w:rPr>
        <w:t>Blockchain Research Analyst (Independent)</w:t>
      </w:r>
      <w:r>
        <w:t xml:space="preserve"> · Self-Employed</w:t>
      </w:r>
      <w:r>
        <w:tab/>
      </w:r>
      <w:r>
        <w:rPr>
          <w:i/>
        </w:rPr>
        <w:t>Jul 2016 to Present</w:t>
      </w:r>
    </w:p>
    <w:p>
      <w:pPr>
        <w:keepLines/>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keepLines/>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keepLines/>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19">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1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3">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1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4">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5">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6">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20">
        <w:r>
          <w:rPr>
            <w:rStyle w:val="Hyperlink"/>
            <w:b/>
          </w:rPr>
          <w:t xml:space="preserve">Adaptive Tokenomics.</w:t>
        </w:r>
      </w:hyperlink>
      <w:r>
        <w:t xml:space="preserve"> Industrial control engineering (PID controller) applied to token-supply emission as programmable monetary-policy mechanism; 806-run agent-based simulation battery; PID emission control cuts worst-case node-count variance from CV 0.544 (static emission) to 0.087 (PID), functioning as downside insurance under competitor-shock attack.</w:t>
      </w:r>
    </w:p>
    <w:p>
      <w:pPr>
        <w:spacing w:after="28"/>
        <w:ind w:left="320" w:hanging="160"/>
      </w:pPr>
      <w:r>
        <w:t xml:space="preserve">• </w:t>
      </w:r>
      <w:hyperlink r:id="rId17">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7">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2">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0">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50"/>
      <w:szCs w:val="50"/>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3"/>
      <w:szCs w:val="23"/>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letters/occ-mvep-v4/" TargetMode="External"/><Relationship Id="rId7" Type="http://schemas.openxmlformats.org/officeDocument/2006/relationships/hyperlink" Target="https://tokenization.systems/letters/occ-supplemental/" TargetMode="External"/><Relationship Id="rId8" Type="http://schemas.openxmlformats.org/officeDocument/2006/relationships/hyperlink" Target="https://tokenization.systems/letters/treasury-genius-state-similarity/" TargetMode="External"/><Relationship Id="rId10" Type="http://schemas.openxmlformats.org/officeDocument/2006/relationships/hyperlink" Target="https://tokenization.systems/letters/fdic-ag19-ppsi-activities/" TargetMode="External"/><Relationship Id="rId11" Type="http://schemas.openxmlformats.org/officeDocument/2006/relationships/hyperlink" Target="https://tokenization.systems/letters/fdic-ag20-ppsi-application/" TargetMode="External"/><Relationship Id="rId12" Type="http://schemas.openxmlformats.org/officeDocument/2006/relationships/hyperlink" Target="https://tokenization.systems/letters/fincen-aml-cft/" TargetMode="External"/><Relationship Id="rId13" Type="http://schemas.openxmlformats.org/officeDocument/2006/relationships/hyperlink" Target="https://tokenization.systems/letters/fincen-ofac-ppsi-sanctions/" TargetMode="External"/><Relationship Id="rId14" Type="http://schemas.openxmlformats.org/officeDocument/2006/relationships/hyperlink" Target="https://tokenization.systems/letters/banking-agencies-joint-aml/" TargetMode="External"/><Relationship Id="rId15" Type="http://schemas.openxmlformats.org/officeDocument/2006/relationships/hyperlink" Target="https://tokenization.systems/letters/fsb-ai-sound-practices/" TargetMode="External"/><Relationship Id="rId16" Type="http://schemas.openxmlformats.org/officeDocument/2006/relationships/hyperlink" Target="https://tokenization.systems/papers/routing-the-dollar/" TargetMode="External"/><Relationship Id="rId17" Type="http://schemas.openxmlformats.org/officeDocument/2006/relationships/hyperlink" Target="https://tokenization.systems/papers/governance-concentration/" TargetMode="External"/><Relationship Id="rId18" Type="http://schemas.openxmlformats.org/officeDocument/2006/relationships/hyperlink" Target="https://tokenization.systems/papers/control-layer-war/" TargetMode="External"/><Relationship Id="rId19" Type="http://schemas.openxmlformats.org/officeDocument/2006/relationships/hyperlink" Target="https://tokenization.systems/papers/mvep/" TargetMode="External"/><Relationship Id="rId20" Type="http://schemas.openxmlformats.org/officeDocument/2006/relationships/hyperlink" Target="https://tokenization.systems/papers/adaptive-tokenomics/" TargetMode="External"/><Relationship Id="rId21" Type="http://schemas.openxmlformats.org/officeDocument/2006/relationships/hyperlink" Target="https://tokenization.systems/papers/operational-risk/" TargetMode="External"/><Relationship Id="rId22" Type="http://schemas.openxmlformats.org/officeDocument/2006/relationships/hyperlink" Target="https://medium.com/borderless-capital/introduction-to-tokenomics-c7af75c09bfe" TargetMode="External"/><Relationship Id="rId23" Type="http://schemas.openxmlformats.org/officeDocument/2006/relationships/hyperlink" Target="https://tokenization.systems/papers/agentic-payments-control-layer/" TargetMode="External"/><Relationship Id="rId24" Type="http://schemas.openxmlformats.org/officeDocument/2006/relationships/hyperlink" Target="https://tokenization.systems/papers/seven-dollars/" TargetMode="External"/><Relationship Id="rId25" Type="http://schemas.openxmlformats.org/officeDocument/2006/relationships/hyperlink" Target="https://tokenization.systems/papers/dollar-v3/" TargetMode="External"/><Relationship Id="rId26" Type="http://schemas.openxmlformats.org/officeDocument/2006/relationships/hyperlink" Target="https://tokenization.systems/papers/three-strategies/" TargetMode="External"/><Relationship Id="rId27" Type="http://schemas.openxmlformats.org/officeDocument/2006/relationships/hyperlink" Target="https://tokenization.systems/papers/who-burns-the-tokens/"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