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~$500M AUM · 250 investments (~25% deployment rate) · ~75 DATs analyzed, 18 invested · LayerZero seed (~80x)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