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21 federal comment letters · FSB AI consultation response · 9 SSRN papers · Dialogues across national security think tanks, securities exchanges, Central Securities Depositories, payments messaging, banks, transfer agents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21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AI-domain extensions of the Minimum Viable Equivalence Pack and Control Layer Intensity Index (MVEP-AI / CLII-AI).</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78-skill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