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r>
        <w:rPr>
          <w:sz w:val="17"/>
          <w:szCs w:val="17"/>
        </w:rPr>
        <w:t xml:space="preserve">  |  </w:t>
      </w:r>
      <w:hyperlink r:id="rId6">
        <w:r>
          <w:rPr>
            <w:rStyle w:val="Hyperlink"/>
            <w:sz w:val="17"/>
            <w:szCs w:val="17"/>
          </w:rPr>
          <w:t xml:space="preserve">Agent infrastructure</w:t>
        </w:r>
      </w:hyperlink>
    </w:p>
    <w:p>
      <w:pPr>
        <w:spacing w:after="15"/>
        <w:jc w:val="center"/>
      </w:pPr>
      <w:r>
        <w:rPr>
          <w:rFonts w:ascii="Arial" w:cs="Arial" w:eastAsia="Arial" w:hAnsi="Arial"/>
          <w:b/>
          <w:bCs/>
          <w:color w:val="1A1A1A"/>
          <w:sz w:val="21"/>
          <w:szCs w:val="21"/>
        </w:rPr>
        <w:t>AI GOVERNANCE · CONTROL-LAYER ACCOUNTABILITY · DILIGENCE FRAMEWORKS</w:t>
      </w:r>
    </w:p>
    <w:p>
      <w:pPr>
        <w:spacing w:after="10"/>
        <w:jc w:val="center"/>
      </w:pPr>
      <w:r>
        <w:rPr>
          <w:b w:val="0"/>
          <w:i w:val="0"/>
          <w:sz w:val="17"/>
        </w:rPr>
        <w:t>· Agent fleet: over 68,000 commits · typical overlap 14, peak 61 · commit gate of over 200 checks</w:t>
        <w:br/>
        <w:t>· over 63,000 advisory firings measured across 37 classes · 78⁠-⁠skill library · 33⁠-⁠file canonical⁠-⁠state layer</w:t>
        <w:br/>
        <w:t>· 42 USPTO patent applications across 32 families (Canonical⁠-⁠State Architecture for multi⁠-⁠agent AI research)</w:t>
        <w:br/>
        <w:t>· 9 SSRN papers · 25 federal comment letters · FSB AI consultation response</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7"/>
          <w:szCs w:val="17"/>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Built the human-in-the-loop layer over the fleet: a terminal grid of every live agent session with a phone control bar, and a web dashboard with live session control. Agents act inside declared authority boundaries; consent, outward-facing and irreversible actions stay with the human operator.</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25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AI-domain extensions of the Minimum Viable Equivalence Pack and Control Layer Intensity Index (MVEP-AI / CLII-AI);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r>
        <w:rPr>
          <w:b/>
        </w:rPr>
        <w:t>Canonical-State Architecture.</w:t>
      </w:r>
      <w:r>
        <w:t xml:space="preserve"> Filed 41 US patent applications across 32 families in 2026. Twelve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68,000 commits and 12 to 55 concurrent agents over seven months (as of 2026-09-28), with a companion 73-page methodology preprint. The other twenty-eight families cover evidence-grounding interlocks against hallucinated machine assessment (two applications); typed-absence control attribution for pseudonymous on-chain systems (three); instrument-absence as a typed outcome with verifier-integrity controls (two); authority-aware context retrieval, resource-triggered session handoff, fleet launch-governance admission, contribution attestation, and derived-artifact coherence (six); calibration-gated detector promotion and evaluation instrumentation (three); reputation-weighted governance thresholds (two); and eleven families filed since August covering provenance-chain attribution, source-fidelity omission-and-fabrication detection, outbound-artifact gating as typed negative outcomes, blinded evaluation batteries, peer-health-gated destructive cleanup, confidence-gated typed-judgment offload, warranted destructive maintenance anchored to prior repository state, its receipt-gated key recovery, observer-first control arming, an operator-controlled agent perimeter, and governed agent authority (one each).</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