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Sourced LayerZero seed (~80x) · CLII across 19 stablecoin gateways · 100 portfolio companies advised 1⁠-⁠on⁠-⁠1 (50+ multi⁠-⁠session) · 8 SSRN papers · 13 federal comment letters</w:t>
        <w:br/>
        <w:t>· Patent⁠-⁠pending Canonical⁠-⁠State Architecture for multi⁠-⁠agent AI research (sixteen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Under review at the Journal of Financial Regulation (editor-invited).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7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agentic-payments-control-layer/" TargetMode="External"/><Relationship Id="rId23" Type="http://schemas.openxmlformats.org/officeDocument/2006/relationships/hyperlink" Target="https://tokenization.systems/letters/fsb-ai-sound-practices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seven-dollars/" TargetMode="External"/><Relationship Id="rId26" Type="http://schemas.openxmlformats.org/officeDocument/2006/relationships/hyperlink" Target="https://tokenization.systems/papers/dollar-v3/" TargetMode="External"/><Relationship Id="rId27" Type="http://schemas.openxmlformats.org/officeDocument/2006/relationships/hyperlink" Target="https://tokenization.systems/papers/who-burns-the-tokens/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